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52CF" w:rsidRPr="00AA2125" w:rsidRDefault="00F452CF" w:rsidP="00C87F25">
      <w:pPr>
        <w:jc w:val="center"/>
        <w:rPr>
          <w:b/>
          <w:sz w:val="28"/>
          <w:szCs w:val="28"/>
        </w:rPr>
      </w:pPr>
      <w:r w:rsidRPr="00AA2125">
        <w:rPr>
          <w:b/>
          <w:sz w:val="28"/>
          <w:szCs w:val="28"/>
        </w:rPr>
        <w:t>Cover Page</w:t>
      </w:r>
    </w:p>
    <w:tbl>
      <w:tblPr>
        <w:tblStyle w:val="TableGrid"/>
        <w:tblW w:w="0" w:type="auto"/>
        <w:jc w:val="center"/>
        <w:tblLook w:val="04A0" w:firstRow="1" w:lastRow="0" w:firstColumn="1" w:lastColumn="0" w:noHBand="0" w:noVBand="1"/>
      </w:tblPr>
      <w:tblGrid>
        <w:gridCol w:w="4788"/>
        <w:gridCol w:w="7470"/>
      </w:tblGrid>
      <w:tr w:rsidR="00F452CF" w:rsidTr="00AA2125">
        <w:trPr>
          <w:jc w:val="center"/>
        </w:trPr>
        <w:tc>
          <w:tcPr>
            <w:tcW w:w="4788" w:type="dxa"/>
          </w:tcPr>
          <w:p w:rsidR="00F452CF" w:rsidRPr="002C516B" w:rsidRDefault="00F452CF">
            <w:pPr>
              <w:rPr>
                <w:rFonts w:ascii="Arial" w:hAnsi="Arial" w:cs="Arial"/>
                <w:sz w:val="24"/>
                <w:szCs w:val="24"/>
              </w:rPr>
            </w:pPr>
            <w:r w:rsidRPr="002C516B">
              <w:rPr>
                <w:rFonts w:ascii="Arial" w:hAnsi="Arial" w:cs="Arial"/>
                <w:sz w:val="24"/>
                <w:szCs w:val="24"/>
              </w:rPr>
              <w:t>Lesson Title</w:t>
            </w:r>
          </w:p>
        </w:tc>
        <w:tc>
          <w:tcPr>
            <w:tcW w:w="7470" w:type="dxa"/>
          </w:tcPr>
          <w:p w:rsidR="00F452CF" w:rsidRPr="002C516B" w:rsidRDefault="000E623E">
            <w:pPr>
              <w:rPr>
                <w:rFonts w:ascii="Arial" w:hAnsi="Arial" w:cs="Arial"/>
                <w:sz w:val="24"/>
                <w:szCs w:val="24"/>
              </w:rPr>
            </w:pPr>
            <w:r>
              <w:rPr>
                <w:rFonts w:ascii="Arial" w:hAnsi="Arial" w:cs="Arial"/>
                <w:sz w:val="24"/>
                <w:szCs w:val="24"/>
              </w:rPr>
              <w:t>Net Forces with Drones</w:t>
            </w:r>
          </w:p>
        </w:tc>
      </w:tr>
      <w:tr w:rsidR="00111FED" w:rsidTr="00AA2125">
        <w:trPr>
          <w:jc w:val="center"/>
        </w:trPr>
        <w:tc>
          <w:tcPr>
            <w:tcW w:w="4788" w:type="dxa"/>
          </w:tcPr>
          <w:p w:rsidR="00111FED" w:rsidRPr="002C516B" w:rsidRDefault="00111FED" w:rsidP="0019623B">
            <w:pPr>
              <w:rPr>
                <w:rFonts w:ascii="Arial" w:hAnsi="Arial" w:cs="Arial"/>
                <w:sz w:val="24"/>
                <w:szCs w:val="24"/>
              </w:rPr>
            </w:pPr>
            <w:r w:rsidRPr="002C516B">
              <w:rPr>
                <w:rFonts w:ascii="Arial" w:hAnsi="Arial" w:cs="Arial"/>
                <w:sz w:val="24"/>
                <w:szCs w:val="24"/>
              </w:rPr>
              <w:t>Context Key Words</w:t>
            </w:r>
          </w:p>
        </w:tc>
        <w:tc>
          <w:tcPr>
            <w:tcW w:w="7470" w:type="dxa"/>
          </w:tcPr>
          <w:p w:rsidR="00111FED" w:rsidRPr="002C516B" w:rsidRDefault="000E623E" w:rsidP="0019623B">
            <w:pPr>
              <w:rPr>
                <w:rFonts w:ascii="Arial" w:hAnsi="Arial" w:cs="Arial"/>
                <w:sz w:val="24"/>
                <w:szCs w:val="24"/>
              </w:rPr>
            </w:pPr>
            <w:r>
              <w:rPr>
                <w:rFonts w:ascii="Arial" w:hAnsi="Arial" w:cs="Arial"/>
                <w:sz w:val="24"/>
                <w:szCs w:val="24"/>
              </w:rPr>
              <w:t>Net Force, Drone, Lift, Physics Applications</w:t>
            </w:r>
          </w:p>
        </w:tc>
      </w:tr>
      <w:tr w:rsidR="002C516B" w:rsidTr="00AA2125">
        <w:trPr>
          <w:jc w:val="center"/>
        </w:trPr>
        <w:tc>
          <w:tcPr>
            <w:tcW w:w="4788" w:type="dxa"/>
          </w:tcPr>
          <w:p w:rsidR="002C516B" w:rsidRPr="002C516B" w:rsidRDefault="002C516B" w:rsidP="0019623B">
            <w:pPr>
              <w:rPr>
                <w:rFonts w:ascii="Arial" w:hAnsi="Arial" w:cs="Arial"/>
                <w:sz w:val="24"/>
                <w:szCs w:val="24"/>
              </w:rPr>
            </w:pPr>
            <w:r w:rsidRPr="002C516B">
              <w:rPr>
                <w:rFonts w:ascii="Arial" w:hAnsi="Arial" w:cs="Arial"/>
                <w:sz w:val="24"/>
                <w:szCs w:val="24"/>
              </w:rPr>
              <w:t>Grade Level</w:t>
            </w:r>
          </w:p>
        </w:tc>
        <w:tc>
          <w:tcPr>
            <w:tcW w:w="7470" w:type="dxa"/>
          </w:tcPr>
          <w:p w:rsidR="002C516B" w:rsidRPr="002C516B" w:rsidRDefault="000E623E" w:rsidP="0019623B">
            <w:pPr>
              <w:rPr>
                <w:rFonts w:ascii="Arial" w:hAnsi="Arial" w:cs="Arial"/>
                <w:sz w:val="24"/>
                <w:szCs w:val="24"/>
              </w:rPr>
            </w:pPr>
            <w:r>
              <w:rPr>
                <w:rFonts w:ascii="Arial" w:hAnsi="Arial" w:cs="Arial"/>
                <w:sz w:val="24"/>
                <w:szCs w:val="24"/>
              </w:rPr>
              <w:t>9-12</w:t>
            </w:r>
          </w:p>
        </w:tc>
      </w:tr>
      <w:tr w:rsidR="00F452CF" w:rsidTr="00AA2125">
        <w:trPr>
          <w:jc w:val="center"/>
        </w:trPr>
        <w:tc>
          <w:tcPr>
            <w:tcW w:w="4788" w:type="dxa"/>
          </w:tcPr>
          <w:p w:rsidR="00F452CF" w:rsidRPr="002C516B" w:rsidRDefault="000E623E">
            <w:pPr>
              <w:rPr>
                <w:rFonts w:ascii="Arial" w:hAnsi="Arial" w:cs="Arial"/>
                <w:sz w:val="24"/>
                <w:szCs w:val="24"/>
              </w:rPr>
            </w:pPr>
            <w:r>
              <w:rPr>
                <w:rFonts w:ascii="Arial" w:hAnsi="Arial" w:cs="Arial"/>
                <w:sz w:val="24"/>
                <w:szCs w:val="24"/>
              </w:rPr>
              <w:t>Next Generation Science Standards</w:t>
            </w:r>
          </w:p>
        </w:tc>
        <w:tc>
          <w:tcPr>
            <w:tcW w:w="7470" w:type="dxa"/>
          </w:tcPr>
          <w:p w:rsidR="00F452CF" w:rsidRPr="006053DC" w:rsidRDefault="000E623E" w:rsidP="000E623E">
            <w:pPr>
              <w:rPr>
                <w:rFonts w:ascii="Times New Roman" w:eastAsia="Times New Roman" w:hAnsi="Times New Roman" w:cs="Times New Roman"/>
                <w:sz w:val="24"/>
                <w:szCs w:val="24"/>
              </w:rPr>
            </w:pPr>
            <w:r w:rsidRPr="006053DC">
              <w:rPr>
                <w:rFonts w:ascii="Helvetica" w:eastAsia="Times New Roman" w:hAnsi="Helvetica" w:cs="Times New Roman"/>
                <w:bCs/>
                <w:color w:val="333333"/>
                <w:sz w:val="20"/>
                <w:szCs w:val="20"/>
              </w:rPr>
              <w:t>HS-PS2-1 Analyze data to support the claim</w:t>
            </w:r>
            <w:r w:rsidRPr="006053DC">
              <w:rPr>
                <w:rFonts w:ascii="Times New Roman" w:eastAsia="Times New Roman" w:hAnsi="Times New Roman" w:cs="Times New Roman"/>
                <w:sz w:val="24"/>
                <w:szCs w:val="24"/>
              </w:rPr>
              <w:t xml:space="preserve"> </w:t>
            </w:r>
            <w:r w:rsidRPr="006053DC">
              <w:rPr>
                <w:rFonts w:ascii="Helvetica" w:eastAsia="Times New Roman" w:hAnsi="Helvetica" w:cs="Times New Roman"/>
                <w:bCs/>
                <w:color w:val="333333"/>
                <w:sz w:val="20"/>
                <w:szCs w:val="20"/>
              </w:rPr>
              <w:t>that Newton’s second law of motion describes</w:t>
            </w:r>
            <w:r w:rsidRPr="006053DC">
              <w:rPr>
                <w:rFonts w:ascii="Helvetica" w:eastAsia="Times New Roman" w:hAnsi="Helvetica" w:cs="Times New Roman"/>
                <w:bCs/>
                <w:color w:val="333333"/>
                <w:sz w:val="20"/>
                <w:szCs w:val="20"/>
                <w:shd w:val="clear" w:color="auto" w:fill="FFFFFF"/>
              </w:rPr>
              <w:t> </w:t>
            </w:r>
            <w:r w:rsidRPr="006053DC">
              <w:rPr>
                <w:rFonts w:ascii="Helvetica" w:eastAsia="Times New Roman" w:hAnsi="Helvetica" w:cs="Times New Roman"/>
                <w:bCs/>
                <w:color w:val="333333"/>
                <w:sz w:val="20"/>
                <w:szCs w:val="20"/>
              </w:rPr>
              <w:t>the mathematical relationship among</w:t>
            </w:r>
            <w:r w:rsidR="007F00AA" w:rsidRPr="006053DC">
              <w:rPr>
                <w:rFonts w:ascii="Helvetica" w:eastAsia="Times New Roman" w:hAnsi="Helvetica" w:cs="Times New Roman"/>
                <w:bCs/>
                <w:color w:val="333333"/>
                <w:sz w:val="20"/>
                <w:szCs w:val="20"/>
              </w:rPr>
              <w:t xml:space="preserve"> </w:t>
            </w:r>
            <w:r w:rsidRPr="006053DC">
              <w:rPr>
                <w:rFonts w:ascii="Helvetica" w:eastAsia="Times New Roman" w:hAnsi="Helvetica" w:cs="Times New Roman"/>
                <w:bCs/>
                <w:color w:val="333333"/>
                <w:sz w:val="20"/>
                <w:szCs w:val="20"/>
              </w:rPr>
              <w:t>the net force on a macroscopic object, its mass, and its acceleration.</w:t>
            </w:r>
          </w:p>
          <w:p w:rsidR="002C516B" w:rsidRPr="006053DC" w:rsidRDefault="002C516B">
            <w:pPr>
              <w:rPr>
                <w:rFonts w:ascii="Arial" w:hAnsi="Arial" w:cs="Arial"/>
                <w:sz w:val="24"/>
                <w:szCs w:val="24"/>
              </w:rPr>
            </w:pPr>
          </w:p>
          <w:p w:rsidR="00294EC3" w:rsidRPr="006053DC" w:rsidRDefault="00294EC3">
            <w:pPr>
              <w:rPr>
                <w:rFonts w:ascii="Arial" w:hAnsi="Arial" w:cs="Arial"/>
                <w:sz w:val="24"/>
                <w:szCs w:val="24"/>
              </w:rPr>
            </w:pPr>
          </w:p>
        </w:tc>
      </w:tr>
      <w:tr w:rsidR="00F452CF" w:rsidTr="00AA2125">
        <w:trPr>
          <w:jc w:val="center"/>
        </w:trPr>
        <w:tc>
          <w:tcPr>
            <w:tcW w:w="4788" w:type="dxa"/>
          </w:tcPr>
          <w:p w:rsidR="00F452CF" w:rsidRPr="002C516B" w:rsidRDefault="007F00AA">
            <w:pPr>
              <w:rPr>
                <w:rFonts w:ascii="Arial" w:hAnsi="Arial" w:cs="Arial"/>
                <w:sz w:val="24"/>
                <w:szCs w:val="24"/>
              </w:rPr>
            </w:pPr>
            <w:r>
              <w:rPr>
                <w:rFonts w:ascii="Arial" w:hAnsi="Arial" w:cs="Arial"/>
                <w:sz w:val="24"/>
                <w:szCs w:val="24"/>
              </w:rPr>
              <w:t>Science and Engineering</w:t>
            </w:r>
            <w:r w:rsidR="00F452CF" w:rsidRPr="002C516B">
              <w:rPr>
                <w:rFonts w:ascii="Arial" w:hAnsi="Arial" w:cs="Arial"/>
                <w:sz w:val="24"/>
                <w:szCs w:val="24"/>
              </w:rPr>
              <w:t xml:space="preserve"> Practices</w:t>
            </w:r>
          </w:p>
        </w:tc>
        <w:tc>
          <w:tcPr>
            <w:tcW w:w="7470" w:type="dxa"/>
          </w:tcPr>
          <w:p w:rsidR="00F452CF" w:rsidRPr="002C516B" w:rsidRDefault="007F00AA" w:rsidP="002C516B">
            <w:pPr>
              <w:pStyle w:val="ListParagraph"/>
              <w:numPr>
                <w:ilvl w:val="0"/>
                <w:numId w:val="3"/>
              </w:numPr>
              <w:rPr>
                <w:rFonts w:ascii="Arial" w:hAnsi="Arial" w:cs="Arial"/>
                <w:sz w:val="24"/>
                <w:szCs w:val="24"/>
              </w:rPr>
            </w:pPr>
            <w:r>
              <w:rPr>
                <w:rFonts w:ascii="Arial" w:hAnsi="Arial" w:cs="Arial"/>
                <w:sz w:val="24"/>
                <w:szCs w:val="24"/>
              </w:rPr>
              <w:t>Planning and carrying out investigations</w:t>
            </w:r>
          </w:p>
          <w:p w:rsidR="00294EC3" w:rsidRPr="002C516B" w:rsidRDefault="007F00AA" w:rsidP="002C516B">
            <w:pPr>
              <w:pStyle w:val="ListParagraph"/>
              <w:numPr>
                <w:ilvl w:val="0"/>
                <w:numId w:val="3"/>
              </w:numPr>
              <w:rPr>
                <w:rFonts w:ascii="Arial" w:hAnsi="Arial" w:cs="Arial"/>
                <w:sz w:val="24"/>
                <w:szCs w:val="24"/>
              </w:rPr>
            </w:pPr>
            <w:r>
              <w:rPr>
                <w:rFonts w:ascii="Arial" w:hAnsi="Arial" w:cs="Arial"/>
                <w:sz w:val="24"/>
                <w:szCs w:val="24"/>
              </w:rPr>
              <w:t>Analyzing and interpreting data</w:t>
            </w:r>
          </w:p>
          <w:p w:rsidR="00294EC3" w:rsidRPr="002C516B" w:rsidRDefault="007F00AA" w:rsidP="002C516B">
            <w:pPr>
              <w:pStyle w:val="ListParagraph"/>
              <w:numPr>
                <w:ilvl w:val="0"/>
                <w:numId w:val="3"/>
              </w:numPr>
              <w:rPr>
                <w:rFonts w:ascii="Arial" w:hAnsi="Arial" w:cs="Arial"/>
                <w:sz w:val="24"/>
                <w:szCs w:val="24"/>
              </w:rPr>
            </w:pPr>
            <w:r>
              <w:rPr>
                <w:rFonts w:ascii="Arial" w:hAnsi="Arial" w:cs="Arial"/>
                <w:sz w:val="24"/>
                <w:szCs w:val="24"/>
              </w:rPr>
              <w:t>Using mathematics and computational thinking</w:t>
            </w:r>
          </w:p>
          <w:p w:rsidR="00294EC3" w:rsidRPr="007F00AA" w:rsidRDefault="00294EC3" w:rsidP="007F00AA">
            <w:pPr>
              <w:rPr>
                <w:rFonts w:ascii="Arial" w:hAnsi="Arial" w:cs="Arial"/>
                <w:sz w:val="24"/>
                <w:szCs w:val="24"/>
              </w:rPr>
            </w:pPr>
          </w:p>
        </w:tc>
      </w:tr>
      <w:tr w:rsidR="00F452CF" w:rsidTr="00AA2125">
        <w:trPr>
          <w:jc w:val="center"/>
        </w:trPr>
        <w:tc>
          <w:tcPr>
            <w:tcW w:w="4788" w:type="dxa"/>
          </w:tcPr>
          <w:p w:rsidR="00F452CF" w:rsidRPr="002C516B" w:rsidRDefault="00F452CF">
            <w:pPr>
              <w:rPr>
                <w:rFonts w:ascii="Arial" w:hAnsi="Arial" w:cs="Arial"/>
                <w:sz w:val="24"/>
                <w:szCs w:val="24"/>
              </w:rPr>
            </w:pPr>
            <w:r w:rsidRPr="002C516B">
              <w:rPr>
                <w:rFonts w:ascii="Arial" w:hAnsi="Arial" w:cs="Arial"/>
                <w:sz w:val="24"/>
                <w:szCs w:val="24"/>
              </w:rPr>
              <w:t>Supplies Needed</w:t>
            </w:r>
          </w:p>
        </w:tc>
        <w:tc>
          <w:tcPr>
            <w:tcW w:w="7470" w:type="dxa"/>
          </w:tcPr>
          <w:p w:rsidR="00294EC3" w:rsidRPr="002C516B" w:rsidRDefault="00784985" w:rsidP="002C516B">
            <w:pPr>
              <w:pStyle w:val="ListParagraph"/>
              <w:numPr>
                <w:ilvl w:val="0"/>
                <w:numId w:val="2"/>
              </w:numPr>
              <w:autoSpaceDE w:val="0"/>
              <w:autoSpaceDN w:val="0"/>
              <w:adjustRightInd w:val="0"/>
              <w:rPr>
                <w:rFonts w:ascii="Arial" w:hAnsi="Arial" w:cs="Arial"/>
                <w:sz w:val="24"/>
                <w:szCs w:val="24"/>
              </w:rPr>
            </w:pPr>
            <w:r>
              <w:rPr>
                <w:rFonts w:ascii="Arial" w:hAnsi="Arial" w:cs="Arial"/>
                <w:sz w:val="24"/>
                <w:szCs w:val="24"/>
              </w:rPr>
              <w:t>One drone per group</w:t>
            </w:r>
            <w:r w:rsidR="009E2E62">
              <w:rPr>
                <w:rFonts w:ascii="Arial" w:hAnsi="Arial" w:cs="Arial"/>
                <w:sz w:val="24"/>
                <w:szCs w:val="24"/>
              </w:rPr>
              <w:t xml:space="preserve"> (preferably one of </w:t>
            </w:r>
            <w:r w:rsidR="00D101F5">
              <w:rPr>
                <w:rFonts w:ascii="Arial" w:hAnsi="Arial" w:cs="Arial"/>
                <w:sz w:val="24"/>
                <w:szCs w:val="24"/>
              </w:rPr>
              <w:t>the inexpensive drones</w:t>
            </w:r>
            <w:r w:rsidR="009E2E62">
              <w:rPr>
                <w:rFonts w:ascii="Arial" w:hAnsi="Arial" w:cs="Arial"/>
                <w:sz w:val="24"/>
                <w:szCs w:val="24"/>
              </w:rPr>
              <w:t xml:space="preserve"> that operates without a speed regulator)</w:t>
            </w:r>
          </w:p>
          <w:p w:rsidR="00294EC3" w:rsidRPr="002C516B" w:rsidRDefault="00784985" w:rsidP="002C516B">
            <w:pPr>
              <w:pStyle w:val="ListParagraph"/>
              <w:numPr>
                <w:ilvl w:val="0"/>
                <w:numId w:val="2"/>
              </w:numPr>
              <w:autoSpaceDE w:val="0"/>
              <w:autoSpaceDN w:val="0"/>
              <w:adjustRightInd w:val="0"/>
              <w:rPr>
                <w:rFonts w:ascii="Arial" w:hAnsi="Arial" w:cs="Arial"/>
                <w:sz w:val="24"/>
                <w:szCs w:val="24"/>
              </w:rPr>
            </w:pPr>
            <w:r>
              <w:rPr>
                <w:rFonts w:ascii="Arial" w:hAnsi="Arial" w:cs="Arial"/>
                <w:sz w:val="24"/>
                <w:szCs w:val="24"/>
              </w:rPr>
              <w:t>Scale for finding masses</w:t>
            </w:r>
          </w:p>
          <w:p w:rsidR="00F452CF" w:rsidRDefault="00784985" w:rsidP="002C516B">
            <w:pPr>
              <w:pStyle w:val="ListParagraph"/>
              <w:numPr>
                <w:ilvl w:val="0"/>
                <w:numId w:val="2"/>
              </w:numPr>
              <w:rPr>
                <w:rFonts w:ascii="Arial" w:hAnsi="Arial" w:cs="Arial"/>
                <w:sz w:val="24"/>
                <w:szCs w:val="24"/>
              </w:rPr>
            </w:pPr>
            <w:r>
              <w:rPr>
                <w:rFonts w:ascii="Arial" w:hAnsi="Arial" w:cs="Arial"/>
                <w:sz w:val="24"/>
                <w:szCs w:val="24"/>
              </w:rPr>
              <w:t>Timers (ideally three per group)</w:t>
            </w:r>
          </w:p>
          <w:p w:rsidR="00784985" w:rsidRDefault="00784985" w:rsidP="002C516B">
            <w:pPr>
              <w:pStyle w:val="ListParagraph"/>
              <w:numPr>
                <w:ilvl w:val="0"/>
                <w:numId w:val="2"/>
              </w:numPr>
              <w:rPr>
                <w:rFonts w:ascii="Arial" w:hAnsi="Arial" w:cs="Arial"/>
                <w:sz w:val="24"/>
                <w:szCs w:val="24"/>
              </w:rPr>
            </w:pPr>
            <w:r>
              <w:rPr>
                <w:rFonts w:ascii="Arial" w:hAnsi="Arial" w:cs="Arial"/>
                <w:sz w:val="24"/>
                <w:szCs w:val="24"/>
              </w:rPr>
              <w:t>Washers</w:t>
            </w:r>
            <w:r w:rsidR="009E2E62">
              <w:rPr>
                <w:rFonts w:ascii="Arial" w:hAnsi="Arial" w:cs="Arial"/>
                <w:sz w:val="24"/>
                <w:szCs w:val="24"/>
              </w:rPr>
              <w:t xml:space="preserve"> or coins</w:t>
            </w:r>
            <w:r>
              <w:rPr>
                <w:rFonts w:ascii="Arial" w:hAnsi="Arial" w:cs="Arial"/>
                <w:sz w:val="24"/>
                <w:szCs w:val="24"/>
              </w:rPr>
              <w:t xml:space="preserve"> suitable for adding mass to drones</w:t>
            </w:r>
          </w:p>
          <w:p w:rsidR="00784985" w:rsidRPr="002C516B" w:rsidRDefault="006D0B09" w:rsidP="002C516B">
            <w:pPr>
              <w:pStyle w:val="ListParagraph"/>
              <w:numPr>
                <w:ilvl w:val="0"/>
                <w:numId w:val="2"/>
              </w:numPr>
              <w:rPr>
                <w:rFonts w:ascii="Arial" w:hAnsi="Arial" w:cs="Arial"/>
                <w:sz w:val="24"/>
                <w:szCs w:val="24"/>
              </w:rPr>
            </w:pPr>
            <w:r>
              <w:rPr>
                <w:rFonts w:ascii="Arial" w:hAnsi="Arial" w:cs="Arial"/>
                <w:sz w:val="24"/>
                <w:szCs w:val="24"/>
              </w:rPr>
              <w:t>Point of known height, such as a field goal pole</w:t>
            </w:r>
          </w:p>
        </w:tc>
      </w:tr>
      <w:tr w:rsidR="00F452CF" w:rsidTr="00AA2125">
        <w:trPr>
          <w:jc w:val="center"/>
        </w:trPr>
        <w:tc>
          <w:tcPr>
            <w:tcW w:w="4788" w:type="dxa"/>
          </w:tcPr>
          <w:p w:rsidR="00F452CF" w:rsidRPr="002C516B" w:rsidRDefault="00303540">
            <w:pPr>
              <w:rPr>
                <w:rFonts w:ascii="Arial" w:hAnsi="Arial" w:cs="Arial"/>
                <w:sz w:val="24"/>
                <w:szCs w:val="24"/>
              </w:rPr>
            </w:pPr>
            <w:r>
              <w:rPr>
                <w:rFonts w:ascii="Arial" w:hAnsi="Arial" w:cs="Arial"/>
                <w:sz w:val="24"/>
                <w:szCs w:val="24"/>
              </w:rPr>
              <w:t>Lesson Outline</w:t>
            </w:r>
          </w:p>
        </w:tc>
        <w:tc>
          <w:tcPr>
            <w:tcW w:w="7470" w:type="dxa"/>
          </w:tcPr>
          <w:p w:rsidR="00F452CF" w:rsidRDefault="00015E53" w:rsidP="00303540">
            <w:pPr>
              <w:pStyle w:val="ListParagraph"/>
              <w:numPr>
                <w:ilvl w:val="0"/>
                <w:numId w:val="6"/>
              </w:numPr>
              <w:autoSpaceDE w:val="0"/>
              <w:autoSpaceDN w:val="0"/>
              <w:adjustRightInd w:val="0"/>
              <w:rPr>
                <w:rFonts w:ascii="Arial" w:hAnsi="Arial" w:cs="Arial"/>
                <w:sz w:val="24"/>
                <w:szCs w:val="24"/>
              </w:rPr>
            </w:pPr>
            <w:r>
              <w:rPr>
                <w:rFonts w:ascii="Arial" w:hAnsi="Arial" w:cs="Arial"/>
                <w:sz w:val="24"/>
                <w:szCs w:val="24"/>
              </w:rPr>
              <w:t xml:space="preserve">Students begin with a background understanding of </w:t>
            </w:r>
            <w:r w:rsidR="00303540">
              <w:rPr>
                <w:rFonts w:ascii="Arial" w:hAnsi="Arial" w:cs="Arial"/>
                <w:sz w:val="24"/>
                <w:szCs w:val="24"/>
              </w:rPr>
              <w:t>standard instruction in types of forces, net forces, and acceleration.</w:t>
            </w:r>
          </w:p>
          <w:p w:rsidR="00303540" w:rsidRDefault="00303540" w:rsidP="00303540">
            <w:pPr>
              <w:pStyle w:val="ListParagraph"/>
              <w:numPr>
                <w:ilvl w:val="0"/>
                <w:numId w:val="6"/>
              </w:numPr>
              <w:autoSpaceDE w:val="0"/>
              <w:autoSpaceDN w:val="0"/>
              <w:adjustRightInd w:val="0"/>
              <w:rPr>
                <w:rFonts w:ascii="Arial" w:hAnsi="Arial" w:cs="Arial"/>
                <w:sz w:val="24"/>
                <w:szCs w:val="24"/>
              </w:rPr>
            </w:pPr>
            <w:r>
              <w:rPr>
                <w:rFonts w:ascii="Arial" w:hAnsi="Arial" w:cs="Arial"/>
                <w:sz w:val="24"/>
                <w:szCs w:val="24"/>
              </w:rPr>
              <w:t>Help students to visualize the system of forces involved when a drone lifts in the vertical dimension: weight, lift</w:t>
            </w:r>
            <w:r w:rsidR="009E2E62">
              <w:rPr>
                <w:rFonts w:ascii="Arial" w:hAnsi="Arial" w:cs="Arial"/>
                <w:sz w:val="24"/>
                <w:szCs w:val="24"/>
              </w:rPr>
              <w:t xml:space="preserve"> (or “applied force”)</w:t>
            </w:r>
            <w:r>
              <w:rPr>
                <w:rFonts w:ascii="Arial" w:hAnsi="Arial" w:cs="Arial"/>
                <w:sz w:val="24"/>
                <w:szCs w:val="24"/>
              </w:rPr>
              <w:t>, and net force.</w:t>
            </w:r>
          </w:p>
          <w:p w:rsidR="00303540" w:rsidRDefault="00303540" w:rsidP="00303540">
            <w:pPr>
              <w:pStyle w:val="ListParagraph"/>
              <w:numPr>
                <w:ilvl w:val="0"/>
                <w:numId w:val="6"/>
              </w:numPr>
              <w:autoSpaceDE w:val="0"/>
              <w:autoSpaceDN w:val="0"/>
              <w:adjustRightInd w:val="0"/>
              <w:rPr>
                <w:rFonts w:ascii="Arial" w:hAnsi="Arial" w:cs="Arial"/>
                <w:sz w:val="24"/>
                <w:szCs w:val="24"/>
              </w:rPr>
            </w:pPr>
            <w:r>
              <w:rPr>
                <w:rFonts w:ascii="Arial" w:hAnsi="Arial" w:cs="Arial"/>
                <w:sz w:val="24"/>
                <w:szCs w:val="24"/>
              </w:rPr>
              <w:t>Provide student</w:t>
            </w:r>
            <w:r w:rsidR="009E2E62">
              <w:rPr>
                <w:rFonts w:ascii="Arial" w:hAnsi="Arial" w:cs="Arial"/>
                <w:sz w:val="24"/>
                <w:szCs w:val="24"/>
              </w:rPr>
              <w:t xml:space="preserve">s with the task description: </w:t>
            </w:r>
            <w:r>
              <w:rPr>
                <w:rFonts w:ascii="Arial" w:hAnsi="Arial" w:cs="Arial"/>
                <w:sz w:val="24"/>
                <w:szCs w:val="24"/>
              </w:rPr>
              <w:t xml:space="preserve">Determine the lifting force provided by the drone’s </w:t>
            </w:r>
            <w:r w:rsidR="009E2E62">
              <w:rPr>
                <w:rFonts w:ascii="Arial" w:hAnsi="Arial" w:cs="Arial"/>
                <w:sz w:val="24"/>
                <w:szCs w:val="24"/>
              </w:rPr>
              <w:t>rotors working at three or more different settings.  To do this, students must find the acceleration, net force, and weight of the drone.  To begin, students must collect data on the mass of the drone as weight is added, and the time it takes for the drone to reach a pre-determined height.</w:t>
            </w:r>
          </w:p>
          <w:p w:rsidR="00D101F5" w:rsidRDefault="00D101F5" w:rsidP="00303540">
            <w:pPr>
              <w:pStyle w:val="ListParagraph"/>
              <w:numPr>
                <w:ilvl w:val="0"/>
                <w:numId w:val="6"/>
              </w:numPr>
              <w:autoSpaceDE w:val="0"/>
              <w:autoSpaceDN w:val="0"/>
              <w:adjustRightInd w:val="0"/>
              <w:rPr>
                <w:rFonts w:ascii="Arial" w:hAnsi="Arial" w:cs="Arial"/>
                <w:sz w:val="24"/>
                <w:szCs w:val="24"/>
              </w:rPr>
            </w:pPr>
            <w:r>
              <w:rPr>
                <w:rFonts w:ascii="Arial" w:hAnsi="Arial" w:cs="Arial"/>
                <w:sz w:val="24"/>
                <w:szCs w:val="24"/>
              </w:rPr>
              <w:lastRenderedPageBreak/>
              <w:t>If desired, provide students with the attached worksheet.  Alternatively, have students decide on their own what data they will need to collect, and then decide on a path to calculate the lifting force applied by the drone’s rotors.</w:t>
            </w:r>
          </w:p>
          <w:p w:rsidR="00B15032" w:rsidRPr="00303540" w:rsidRDefault="00B15032" w:rsidP="00303540">
            <w:pPr>
              <w:pStyle w:val="ListParagraph"/>
              <w:numPr>
                <w:ilvl w:val="0"/>
                <w:numId w:val="6"/>
              </w:numPr>
              <w:autoSpaceDE w:val="0"/>
              <w:autoSpaceDN w:val="0"/>
              <w:adjustRightInd w:val="0"/>
              <w:rPr>
                <w:rFonts w:ascii="Arial" w:hAnsi="Arial" w:cs="Arial"/>
                <w:sz w:val="24"/>
                <w:szCs w:val="24"/>
              </w:rPr>
            </w:pPr>
            <w:r>
              <w:rPr>
                <w:rFonts w:ascii="Arial" w:hAnsi="Arial" w:cs="Arial"/>
                <w:sz w:val="24"/>
                <w:szCs w:val="24"/>
              </w:rPr>
              <w:t>Conclude the lesson by having students write a summary of their work (procedure, results, conclusions), including force diagrams and a graph of some results.</w:t>
            </w:r>
          </w:p>
        </w:tc>
      </w:tr>
      <w:tr w:rsidR="00F452CF" w:rsidTr="00AA2125">
        <w:trPr>
          <w:jc w:val="center"/>
        </w:trPr>
        <w:tc>
          <w:tcPr>
            <w:tcW w:w="4788" w:type="dxa"/>
          </w:tcPr>
          <w:p w:rsidR="00F452CF" w:rsidRPr="002C516B" w:rsidRDefault="00F452CF">
            <w:pPr>
              <w:rPr>
                <w:rFonts w:ascii="Arial" w:hAnsi="Arial" w:cs="Arial"/>
                <w:sz w:val="24"/>
                <w:szCs w:val="24"/>
              </w:rPr>
            </w:pPr>
            <w:r w:rsidRPr="002C516B">
              <w:rPr>
                <w:rFonts w:ascii="Arial" w:hAnsi="Arial" w:cs="Arial"/>
                <w:sz w:val="24"/>
                <w:szCs w:val="24"/>
              </w:rPr>
              <w:lastRenderedPageBreak/>
              <w:t>Time Needed</w:t>
            </w:r>
          </w:p>
        </w:tc>
        <w:tc>
          <w:tcPr>
            <w:tcW w:w="7470" w:type="dxa"/>
          </w:tcPr>
          <w:p w:rsidR="00F452CF" w:rsidRPr="002C516B" w:rsidRDefault="00015E53">
            <w:pPr>
              <w:rPr>
                <w:rFonts w:ascii="Arial" w:hAnsi="Arial" w:cs="Arial"/>
                <w:sz w:val="24"/>
                <w:szCs w:val="24"/>
              </w:rPr>
            </w:pPr>
            <w:r>
              <w:rPr>
                <w:rFonts w:ascii="Arial" w:hAnsi="Arial" w:cs="Arial"/>
                <w:sz w:val="24"/>
                <w:szCs w:val="24"/>
              </w:rPr>
              <w:t>90 minutes</w:t>
            </w:r>
          </w:p>
        </w:tc>
      </w:tr>
    </w:tbl>
    <w:p w:rsidR="00F452CF" w:rsidRDefault="00F452CF"/>
    <w:p w:rsidR="00F452CF" w:rsidRDefault="00F452CF">
      <w:r>
        <w:br w:type="page"/>
      </w:r>
    </w:p>
    <w:tbl>
      <w:tblPr>
        <w:tblStyle w:val="TableGrid"/>
        <w:tblW w:w="0" w:type="auto"/>
        <w:jc w:val="center"/>
        <w:tblLook w:val="04A0" w:firstRow="1" w:lastRow="0" w:firstColumn="1" w:lastColumn="0" w:noHBand="0" w:noVBand="1"/>
      </w:tblPr>
      <w:tblGrid>
        <w:gridCol w:w="12950"/>
      </w:tblGrid>
      <w:tr w:rsidR="00916809" w:rsidTr="00AC2D56">
        <w:trPr>
          <w:jc w:val="center"/>
        </w:trPr>
        <w:tc>
          <w:tcPr>
            <w:tcW w:w="12950" w:type="dxa"/>
          </w:tcPr>
          <w:p w:rsidR="00916809" w:rsidRPr="00916809" w:rsidRDefault="00AC2D56" w:rsidP="00916809">
            <w:pPr>
              <w:jc w:val="center"/>
              <w:rPr>
                <w:b/>
                <w:sz w:val="28"/>
              </w:rPr>
            </w:pPr>
            <w:r>
              <w:rPr>
                <w:b/>
                <w:sz w:val="28"/>
              </w:rPr>
              <w:lastRenderedPageBreak/>
              <w:t>Activity</w:t>
            </w:r>
            <w:r w:rsidR="00916809" w:rsidRPr="00916809">
              <w:rPr>
                <w:b/>
                <w:sz w:val="28"/>
              </w:rPr>
              <w:t xml:space="preserve"> Context</w:t>
            </w:r>
          </w:p>
        </w:tc>
      </w:tr>
    </w:tbl>
    <w:p w:rsidR="0089735C" w:rsidRDefault="00AC2D56">
      <w:r>
        <w:t>Newton’s second law states that the net force (F</w:t>
      </w:r>
      <w:r w:rsidRPr="00AC2D56">
        <w:rPr>
          <w:vertAlign w:val="subscript"/>
        </w:rPr>
        <w:t>net</w:t>
      </w:r>
      <w:r>
        <w:t>)acting on an object equals mass (m) times acceleration (a)</w:t>
      </w:r>
      <w:r w:rsidR="0089735C">
        <w:t>.</w:t>
      </w:r>
    </w:p>
    <w:p w:rsidR="0089735C" w:rsidRDefault="0089735C">
      <w:r>
        <w:t xml:space="preserve">Equation 1: </w:t>
      </w:r>
      <w:r w:rsidR="00AC2D56">
        <w:t xml:space="preserve"> F</w:t>
      </w:r>
      <w:r w:rsidR="00AC2D56" w:rsidRPr="00AC2D56">
        <w:rPr>
          <w:vertAlign w:val="subscript"/>
        </w:rPr>
        <w:t>net</w:t>
      </w:r>
      <w:r w:rsidR="00AC2D56">
        <w:t xml:space="preserve"> = ma.  </w:t>
      </w:r>
    </w:p>
    <w:p w:rsidR="0089735C" w:rsidRDefault="00AC2D56">
      <w:r>
        <w:t>In the case of a drone flying vertically, the net force is also equal to the sum of two forces acting in the opposite direction: the drone’s weight (F</w:t>
      </w:r>
      <w:r w:rsidRPr="0089735C">
        <w:rPr>
          <w:vertAlign w:val="subscript"/>
        </w:rPr>
        <w:t>w</w:t>
      </w:r>
      <w:r>
        <w:t>) and the lift provided by the drone’s rotors (F</w:t>
      </w:r>
      <w:r w:rsidRPr="00AC2D56">
        <w:rPr>
          <w:vertAlign w:val="subscript"/>
        </w:rPr>
        <w:t>L</w:t>
      </w:r>
      <w:r>
        <w:t>)</w:t>
      </w:r>
      <w:r w:rsidR="0089735C">
        <w:t xml:space="preserve">. </w:t>
      </w:r>
    </w:p>
    <w:p w:rsidR="0089735C" w:rsidRDefault="0089735C">
      <w:r>
        <w:t xml:space="preserve">Equation 2: </w:t>
      </w:r>
      <w:r w:rsidR="00AC2D56">
        <w:t xml:space="preserve"> F</w:t>
      </w:r>
      <w:r w:rsidR="00AC2D56" w:rsidRPr="00AC2D56">
        <w:rPr>
          <w:vertAlign w:val="subscript"/>
        </w:rPr>
        <w:t>net</w:t>
      </w:r>
      <w:r w:rsidR="00AC2D56">
        <w:t xml:space="preserve"> = F</w:t>
      </w:r>
      <w:r w:rsidR="00AC2D56" w:rsidRPr="00AC2D56">
        <w:rPr>
          <w:vertAlign w:val="subscript"/>
        </w:rPr>
        <w:t>w</w:t>
      </w:r>
      <w:r w:rsidR="00AC2D56">
        <w:t xml:space="preserve"> + F</w:t>
      </w:r>
      <w:r w:rsidR="00AC2D56" w:rsidRPr="00AC2D56">
        <w:rPr>
          <w:vertAlign w:val="subscript"/>
        </w:rPr>
        <w:t>L</w:t>
      </w:r>
      <w:r w:rsidR="00AC2D56">
        <w:t xml:space="preserve">.  </w:t>
      </w:r>
    </w:p>
    <w:p w:rsidR="0089735C" w:rsidRDefault="00AC2D56">
      <w:r>
        <w:t>Students can determine the weight and mass of the drone using a scale (and con</w:t>
      </w:r>
      <w:r w:rsidR="0089735C">
        <w:t>verting weight into mass using F</w:t>
      </w:r>
      <w:r w:rsidR="0089735C" w:rsidRPr="0089735C">
        <w:rPr>
          <w:vertAlign w:val="subscript"/>
        </w:rPr>
        <w:t>w</w:t>
      </w:r>
      <w:r>
        <w:t xml:space="preserve"> = mg).  </w:t>
      </w:r>
    </w:p>
    <w:p w:rsidR="0089735C" w:rsidRDefault="0089735C">
      <w:r>
        <w:t>Equation 3: F</w:t>
      </w:r>
      <w:r w:rsidRPr="0089735C">
        <w:rPr>
          <w:vertAlign w:val="subscript"/>
        </w:rPr>
        <w:t>w</w:t>
      </w:r>
      <w:r>
        <w:t xml:space="preserve"> = mg</w:t>
      </w:r>
    </w:p>
    <w:p w:rsidR="001C6092" w:rsidRDefault="00AC2D56">
      <w:r>
        <w:t>The lift force of the drone’s rotors is wh</w:t>
      </w:r>
      <w:r w:rsidR="0089735C">
        <w:t>at remains from the net force ac</w:t>
      </w:r>
      <w:r w:rsidR="009E2E62">
        <w:t>cording to Equation 2.  S</w:t>
      </w:r>
      <w:r w:rsidR="0089735C">
        <w:t>tudents can calculate the acceleration of the drone using any of several st</w:t>
      </w:r>
      <w:r w:rsidR="009E2E62">
        <w:t>andard acceleration equations.  One way is to record</w:t>
      </w:r>
      <w:r w:rsidR="0089735C">
        <w:t xml:space="preserve"> time and distance data, starting from rest and timing the drone to reach a known height.</w:t>
      </w:r>
    </w:p>
    <w:p w:rsidR="0089735C" w:rsidRDefault="0089735C">
      <w:r>
        <w:t>Equation 4: d = v</w:t>
      </w:r>
      <w:r w:rsidRPr="0089735C">
        <w:rPr>
          <w:vertAlign w:val="subscript"/>
        </w:rPr>
        <w:t>i</w:t>
      </w:r>
      <w:r>
        <w:t>t + 1/2at</w:t>
      </w:r>
      <w:r w:rsidRPr="0089735C">
        <w:rPr>
          <w:vertAlign w:val="superscript"/>
        </w:rPr>
        <w:t>2</w:t>
      </w:r>
    </w:p>
    <w:p w:rsidR="0089735C" w:rsidRDefault="0089735C">
      <w:r>
        <w:t>Another option is to use data from the drone control interface to record the initial and final velocities while timing the drone’s rise.</w:t>
      </w:r>
    </w:p>
    <w:p w:rsidR="0089735C" w:rsidRDefault="0089735C">
      <w:r>
        <w:t>Equation 5: v</w:t>
      </w:r>
      <w:r w:rsidRPr="00D77EC4">
        <w:rPr>
          <w:vertAlign w:val="subscript"/>
        </w:rPr>
        <w:t>f</w:t>
      </w:r>
      <w:r w:rsidRPr="00D77EC4">
        <w:rPr>
          <w:vertAlign w:val="superscript"/>
        </w:rPr>
        <w:t>2</w:t>
      </w:r>
      <w:r>
        <w:t xml:space="preserve"> = v</w:t>
      </w:r>
      <w:r w:rsidRPr="00D77EC4">
        <w:rPr>
          <w:vertAlign w:val="subscript"/>
        </w:rPr>
        <w:t>i</w:t>
      </w:r>
      <w:r w:rsidRPr="0089735C">
        <w:rPr>
          <w:vertAlign w:val="superscript"/>
        </w:rPr>
        <w:t>2</w:t>
      </w:r>
      <w:r>
        <w:t xml:space="preserve"> + 2ad</w:t>
      </w:r>
    </w:p>
    <w:p w:rsidR="00D77EC4" w:rsidRPr="0089735C" w:rsidRDefault="00D101F5">
      <w:r>
        <w:t xml:space="preserve">Once the acceleration of the drone has been found, students can determine the net force acting on the drone, using equation 1.  </w:t>
      </w:r>
    </w:p>
    <w:p w:rsidR="002C7E16" w:rsidRDefault="002C7E16"/>
    <w:p w:rsidR="002C7E16" w:rsidRDefault="002C7E16"/>
    <w:p w:rsidR="00E13853" w:rsidRDefault="00E13853"/>
    <w:p w:rsidR="00E13853" w:rsidRDefault="00E13853">
      <w:r>
        <w:br w:type="page"/>
      </w:r>
    </w:p>
    <w:p w:rsidR="002C7E16" w:rsidRDefault="002C7E16"/>
    <w:tbl>
      <w:tblPr>
        <w:tblStyle w:val="TableGrid"/>
        <w:tblW w:w="0" w:type="auto"/>
        <w:tblLook w:val="04A0" w:firstRow="1" w:lastRow="0" w:firstColumn="1" w:lastColumn="0" w:noHBand="0" w:noVBand="1"/>
      </w:tblPr>
      <w:tblGrid>
        <w:gridCol w:w="6449"/>
        <w:gridCol w:w="1946"/>
        <w:gridCol w:w="1927"/>
        <w:gridCol w:w="2628"/>
      </w:tblGrid>
      <w:tr w:rsidR="002C7E16" w:rsidTr="00CE020D">
        <w:tc>
          <w:tcPr>
            <w:tcW w:w="12950" w:type="dxa"/>
            <w:gridSpan w:val="4"/>
          </w:tcPr>
          <w:p w:rsidR="002C7E16" w:rsidRDefault="00CE020D" w:rsidP="00AA4A42">
            <w:pPr>
              <w:jc w:val="center"/>
              <w:rPr>
                <w:b/>
                <w:sz w:val="28"/>
              </w:rPr>
            </w:pPr>
            <w:r>
              <w:rPr>
                <w:b/>
                <w:sz w:val="28"/>
              </w:rPr>
              <w:t>Student Directions</w:t>
            </w:r>
          </w:p>
          <w:p w:rsidR="00CE020D" w:rsidRDefault="00CE020D" w:rsidP="00CE020D">
            <w:pPr>
              <w:pStyle w:val="ListParagraph"/>
              <w:numPr>
                <w:ilvl w:val="0"/>
                <w:numId w:val="7"/>
              </w:numPr>
            </w:pPr>
            <w:r>
              <w:t>Have students consider the task and the system of equations.  Ask them to consider what data they will need to record.</w:t>
            </w:r>
          </w:p>
          <w:p w:rsidR="00CE020D" w:rsidRDefault="00CE020D" w:rsidP="00CE020D">
            <w:pPr>
              <w:pStyle w:val="ListParagraph"/>
              <w:numPr>
                <w:ilvl w:val="0"/>
                <w:numId w:val="7"/>
              </w:numPr>
            </w:pPr>
            <w:r>
              <w:t>Specifically note that time is a critical variable for determining acceleration, and suggest that students might want to employ three timers for each trial, taking the middle number.</w:t>
            </w:r>
          </w:p>
          <w:p w:rsidR="00CE020D" w:rsidRDefault="00CE020D" w:rsidP="00CE020D">
            <w:pPr>
              <w:pStyle w:val="ListParagraph"/>
              <w:numPr>
                <w:ilvl w:val="0"/>
                <w:numId w:val="7"/>
              </w:numPr>
            </w:pPr>
            <w:r>
              <w:t>Inform students that the drone’s flight is very sensitive to weight distribution, so it will be important to attach weights carefully.</w:t>
            </w:r>
          </w:p>
          <w:p w:rsidR="00CE020D" w:rsidRDefault="00CE020D" w:rsidP="00D101F5">
            <w:pPr>
              <w:pStyle w:val="ListParagraph"/>
              <w:numPr>
                <w:ilvl w:val="0"/>
                <w:numId w:val="7"/>
              </w:numPr>
            </w:pPr>
            <w:r>
              <w:t>Remind students that adding weights to the drone not only alters the value of F</w:t>
            </w:r>
            <w:r w:rsidRPr="00CE020D">
              <w:rPr>
                <w:vertAlign w:val="subscript"/>
              </w:rPr>
              <w:t>w</w:t>
            </w:r>
            <w:r>
              <w:t xml:space="preserve"> (from Equations 2 and 3), but also the value of m (from equations 1 and 3).  (Failing to recognize this is a common error in this type of problem.)</w:t>
            </w:r>
          </w:p>
          <w:p w:rsidR="000723A5" w:rsidRDefault="000723A5" w:rsidP="00CE020D">
            <w:pPr>
              <w:pStyle w:val="ListParagraph"/>
              <w:numPr>
                <w:ilvl w:val="0"/>
                <w:numId w:val="7"/>
              </w:numPr>
            </w:pPr>
            <w:r>
              <w:t>Conclude by informing students the drone is a sensitive piece of equipment, and that you will be available to trouble-shoot problems and to answer questions.</w:t>
            </w:r>
          </w:p>
          <w:p w:rsidR="000723A5" w:rsidRPr="00CE020D" w:rsidRDefault="000723A5" w:rsidP="00CE020D">
            <w:pPr>
              <w:pStyle w:val="ListParagraph"/>
              <w:numPr>
                <w:ilvl w:val="0"/>
                <w:numId w:val="7"/>
              </w:numPr>
            </w:pPr>
            <w:r>
              <w:t>Divide students into groups based in part on the available number of drones per student.</w:t>
            </w:r>
          </w:p>
          <w:p w:rsidR="00CE020D" w:rsidRPr="00916809" w:rsidRDefault="00CE020D" w:rsidP="00AA4A42">
            <w:pPr>
              <w:jc w:val="center"/>
              <w:rPr>
                <w:b/>
                <w:sz w:val="28"/>
              </w:rPr>
            </w:pPr>
          </w:p>
        </w:tc>
      </w:tr>
      <w:tr w:rsidR="008C1E20" w:rsidTr="00CE020D">
        <w:tc>
          <w:tcPr>
            <w:tcW w:w="12950" w:type="dxa"/>
            <w:gridSpan w:val="4"/>
          </w:tcPr>
          <w:p w:rsidR="008C1E20" w:rsidRPr="00916809" w:rsidRDefault="003252A3" w:rsidP="00AA4A42">
            <w:pPr>
              <w:jc w:val="center"/>
              <w:rPr>
                <w:b/>
                <w:sz w:val="28"/>
              </w:rPr>
            </w:pPr>
            <w:r>
              <w:rPr>
                <w:b/>
                <w:sz w:val="28"/>
              </w:rPr>
              <w:t>Making the Math Explicit</w:t>
            </w:r>
          </w:p>
        </w:tc>
      </w:tr>
      <w:tr w:rsidR="008C1E20" w:rsidTr="00CE020D">
        <w:tc>
          <w:tcPr>
            <w:tcW w:w="6449" w:type="dxa"/>
          </w:tcPr>
          <w:p w:rsidR="008C1E20" w:rsidRPr="002C7E16" w:rsidRDefault="00AA2125" w:rsidP="00AA4A42">
            <w:pPr>
              <w:jc w:val="center"/>
              <w:rPr>
                <w:b/>
              </w:rPr>
            </w:pPr>
            <w:r>
              <w:rPr>
                <w:b/>
              </w:rPr>
              <w:t xml:space="preserve">Activity </w:t>
            </w:r>
          </w:p>
        </w:tc>
        <w:tc>
          <w:tcPr>
            <w:tcW w:w="3873" w:type="dxa"/>
            <w:gridSpan w:val="2"/>
          </w:tcPr>
          <w:p w:rsidR="008C1E20" w:rsidRPr="002C7E16" w:rsidRDefault="008C1E20" w:rsidP="00AA4A42">
            <w:pPr>
              <w:jc w:val="center"/>
              <w:rPr>
                <w:b/>
              </w:rPr>
            </w:pPr>
            <w:r w:rsidRPr="002C7E16">
              <w:rPr>
                <w:b/>
              </w:rPr>
              <w:t>Teaching Approach</w:t>
            </w:r>
          </w:p>
        </w:tc>
        <w:tc>
          <w:tcPr>
            <w:tcW w:w="2628" w:type="dxa"/>
          </w:tcPr>
          <w:p w:rsidR="008C1E20" w:rsidRPr="002C7E16" w:rsidRDefault="008C1E20" w:rsidP="00AA4A42">
            <w:pPr>
              <w:jc w:val="center"/>
              <w:rPr>
                <w:b/>
              </w:rPr>
            </w:pPr>
            <w:r w:rsidRPr="002C7E16">
              <w:rPr>
                <w:b/>
              </w:rPr>
              <w:t>Estimated Time</w:t>
            </w:r>
          </w:p>
        </w:tc>
      </w:tr>
      <w:tr w:rsidR="008C1E20" w:rsidTr="00CE020D">
        <w:tc>
          <w:tcPr>
            <w:tcW w:w="6449" w:type="dxa"/>
          </w:tcPr>
          <w:p w:rsidR="008C1E20" w:rsidRDefault="008C1E20" w:rsidP="00AA4A42">
            <w:bookmarkStart w:id="0" w:name="_GoBack"/>
            <w:bookmarkEnd w:id="0"/>
          </w:p>
        </w:tc>
        <w:tc>
          <w:tcPr>
            <w:tcW w:w="3873" w:type="dxa"/>
            <w:gridSpan w:val="2"/>
          </w:tcPr>
          <w:p w:rsidR="008C1E20" w:rsidRDefault="008C1E20" w:rsidP="00AA4A42"/>
        </w:tc>
        <w:tc>
          <w:tcPr>
            <w:tcW w:w="2628" w:type="dxa"/>
          </w:tcPr>
          <w:p w:rsidR="008C1E20" w:rsidRDefault="008C1E20" w:rsidP="00AA4A42"/>
        </w:tc>
      </w:tr>
      <w:tr w:rsidR="008C1E20" w:rsidTr="00CE020D">
        <w:tc>
          <w:tcPr>
            <w:tcW w:w="8395" w:type="dxa"/>
            <w:gridSpan w:val="2"/>
          </w:tcPr>
          <w:p w:rsidR="008C1E20" w:rsidRDefault="008C1E20" w:rsidP="00AA4A42">
            <w:r>
              <w:t>Teacher Guidance/Questioning</w:t>
            </w:r>
          </w:p>
        </w:tc>
        <w:tc>
          <w:tcPr>
            <w:tcW w:w="4555" w:type="dxa"/>
            <w:gridSpan w:val="2"/>
          </w:tcPr>
          <w:p w:rsidR="008C1E20" w:rsidRDefault="008C1E20" w:rsidP="00AA4A42">
            <w:r>
              <w:t>Anticipated Student Responses/Misconceptions</w:t>
            </w:r>
          </w:p>
        </w:tc>
      </w:tr>
      <w:tr w:rsidR="008C1E20" w:rsidTr="00CE020D">
        <w:tc>
          <w:tcPr>
            <w:tcW w:w="8395" w:type="dxa"/>
            <w:gridSpan w:val="2"/>
          </w:tcPr>
          <w:p w:rsidR="008C1E20" w:rsidRDefault="008C1E20" w:rsidP="00AA4A42"/>
        </w:tc>
        <w:tc>
          <w:tcPr>
            <w:tcW w:w="4555" w:type="dxa"/>
            <w:gridSpan w:val="2"/>
          </w:tcPr>
          <w:p w:rsidR="008C1E20" w:rsidRDefault="008C1E20" w:rsidP="00AA4A42"/>
        </w:tc>
      </w:tr>
    </w:tbl>
    <w:p w:rsidR="008C1E20" w:rsidRDefault="008C1E20"/>
    <w:tbl>
      <w:tblPr>
        <w:tblStyle w:val="TableGrid"/>
        <w:tblW w:w="0" w:type="auto"/>
        <w:tblLook w:val="04A0" w:firstRow="1" w:lastRow="0" w:firstColumn="1" w:lastColumn="0" w:noHBand="0" w:noVBand="1"/>
      </w:tblPr>
      <w:tblGrid>
        <w:gridCol w:w="6445"/>
        <w:gridCol w:w="1947"/>
        <w:gridCol w:w="1929"/>
        <w:gridCol w:w="2629"/>
      </w:tblGrid>
      <w:tr w:rsidR="002C7E16" w:rsidTr="00AA4A42">
        <w:tc>
          <w:tcPr>
            <w:tcW w:w="13176" w:type="dxa"/>
            <w:gridSpan w:val="4"/>
          </w:tcPr>
          <w:p w:rsidR="002C7E16" w:rsidRPr="00916809" w:rsidRDefault="002C7E16" w:rsidP="00AA4A42">
            <w:pPr>
              <w:jc w:val="center"/>
              <w:rPr>
                <w:b/>
                <w:sz w:val="28"/>
              </w:rPr>
            </w:pPr>
            <w:r>
              <w:rPr>
                <w:b/>
                <w:sz w:val="28"/>
              </w:rPr>
              <w:t>Revisiting  Context</w:t>
            </w:r>
          </w:p>
        </w:tc>
      </w:tr>
      <w:tr w:rsidR="002C7E16" w:rsidTr="00AA4A42">
        <w:tc>
          <w:tcPr>
            <w:tcW w:w="6588" w:type="dxa"/>
          </w:tcPr>
          <w:p w:rsidR="002C7E16" w:rsidRPr="002C7E16" w:rsidRDefault="00AA2125" w:rsidP="00AA4A42">
            <w:pPr>
              <w:jc w:val="center"/>
              <w:rPr>
                <w:b/>
              </w:rPr>
            </w:pPr>
            <w:r>
              <w:rPr>
                <w:b/>
              </w:rPr>
              <w:t xml:space="preserve">Activity </w:t>
            </w:r>
          </w:p>
        </w:tc>
        <w:tc>
          <w:tcPr>
            <w:tcW w:w="3934" w:type="dxa"/>
            <w:gridSpan w:val="2"/>
          </w:tcPr>
          <w:p w:rsidR="002C7E16" w:rsidRPr="002C7E16" w:rsidRDefault="002C7E16" w:rsidP="00AA4A42">
            <w:pPr>
              <w:jc w:val="center"/>
              <w:rPr>
                <w:b/>
              </w:rPr>
            </w:pPr>
            <w:r w:rsidRPr="002C7E16">
              <w:rPr>
                <w:b/>
              </w:rPr>
              <w:t>Teaching Approach</w:t>
            </w:r>
          </w:p>
        </w:tc>
        <w:tc>
          <w:tcPr>
            <w:tcW w:w="2654" w:type="dxa"/>
          </w:tcPr>
          <w:p w:rsidR="002C7E16" w:rsidRPr="002C7E16" w:rsidRDefault="002C7E16" w:rsidP="00AA4A42">
            <w:pPr>
              <w:jc w:val="center"/>
              <w:rPr>
                <w:b/>
              </w:rPr>
            </w:pPr>
            <w:r w:rsidRPr="002C7E16">
              <w:rPr>
                <w:b/>
              </w:rPr>
              <w:t>Estimated Time</w:t>
            </w:r>
          </w:p>
        </w:tc>
      </w:tr>
      <w:tr w:rsidR="002C7E16" w:rsidTr="00AA4A42">
        <w:tc>
          <w:tcPr>
            <w:tcW w:w="6588" w:type="dxa"/>
          </w:tcPr>
          <w:p w:rsidR="002C7E16" w:rsidRDefault="002C7E16" w:rsidP="00AA4A42"/>
        </w:tc>
        <w:tc>
          <w:tcPr>
            <w:tcW w:w="3934" w:type="dxa"/>
            <w:gridSpan w:val="2"/>
          </w:tcPr>
          <w:p w:rsidR="002C7E16" w:rsidRDefault="002C7E16" w:rsidP="00AA4A42"/>
        </w:tc>
        <w:tc>
          <w:tcPr>
            <w:tcW w:w="2654" w:type="dxa"/>
          </w:tcPr>
          <w:p w:rsidR="002C7E16" w:rsidRDefault="002C7E16" w:rsidP="00AA4A42"/>
        </w:tc>
      </w:tr>
      <w:tr w:rsidR="002C7E16" w:rsidTr="00AA4A42">
        <w:tc>
          <w:tcPr>
            <w:tcW w:w="8568" w:type="dxa"/>
            <w:gridSpan w:val="2"/>
          </w:tcPr>
          <w:p w:rsidR="002C7E16" w:rsidRDefault="002C7E16" w:rsidP="00AA4A42"/>
        </w:tc>
        <w:tc>
          <w:tcPr>
            <w:tcW w:w="4608" w:type="dxa"/>
            <w:gridSpan w:val="2"/>
          </w:tcPr>
          <w:p w:rsidR="002C7E16" w:rsidRDefault="002C7E16" w:rsidP="00AA4A42">
            <w:r>
              <w:t>Anticipated Student Responses/Misconceptions</w:t>
            </w:r>
          </w:p>
        </w:tc>
      </w:tr>
      <w:tr w:rsidR="002C7E16" w:rsidTr="00AA4A42">
        <w:tc>
          <w:tcPr>
            <w:tcW w:w="8568" w:type="dxa"/>
            <w:gridSpan w:val="2"/>
          </w:tcPr>
          <w:p w:rsidR="002C7E16" w:rsidRDefault="002C7E16" w:rsidP="00AA4A42"/>
        </w:tc>
        <w:tc>
          <w:tcPr>
            <w:tcW w:w="4608" w:type="dxa"/>
            <w:gridSpan w:val="2"/>
          </w:tcPr>
          <w:p w:rsidR="002C7E16" w:rsidRDefault="002C7E16" w:rsidP="00AA4A42"/>
        </w:tc>
      </w:tr>
    </w:tbl>
    <w:p w:rsidR="002C7E16" w:rsidRDefault="002C7E16"/>
    <w:p w:rsidR="00C87F25" w:rsidRDefault="00C87F25">
      <w:r>
        <w:t xml:space="preserve">The content of this lesson was derived from </w:t>
      </w:r>
      <w:r w:rsidRPr="00AA2125">
        <w:rPr>
          <w:i/>
        </w:rPr>
        <w:t>Optimizing Coverage:  Security Cameras Formative Assessment Lesson</w:t>
      </w:r>
      <w:r>
        <w:t xml:space="preserve"> from the Mathematics Assessment Resource Service (</w:t>
      </w:r>
      <w:hyperlink r:id="rId8" w:history="1">
        <w:r w:rsidRPr="00E8587F">
          <w:rPr>
            <w:rStyle w:val="Hyperlink"/>
          </w:rPr>
          <w:t>http://map.mathshell.org</w:t>
        </w:r>
      </w:hyperlink>
      <w:r>
        <w:t xml:space="preserve">).  It is </w:t>
      </w:r>
      <w:r w:rsidR="00AA2125">
        <w:t xml:space="preserve">modified here </w:t>
      </w:r>
      <w:r>
        <w:t xml:space="preserve">under </w:t>
      </w:r>
      <w:r w:rsidR="00334C53">
        <w:t>the requirements of the Creative Commons license.</w:t>
      </w:r>
      <w:r>
        <w:t xml:space="preserve"> </w:t>
      </w:r>
    </w:p>
    <w:sectPr w:rsidR="00C87F25" w:rsidSect="00334C53">
      <w:footerReference w:type="default" r:id="rId9"/>
      <w:headerReference w:type="first" r:id="rId10"/>
      <w:footerReference w:type="first" r:id="rId11"/>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3E4A" w:rsidRDefault="001A3E4A" w:rsidP="00334C53">
      <w:pPr>
        <w:spacing w:after="0" w:line="240" w:lineRule="auto"/>
      </w:pPr>
      <w:r>
        <w:separator/>
      </w:r>
    </w:p>
  </w:endnote>
  <w:endnote w:type="continuationSeparator" w:id="0">
    <w:p w:rsidR="001A3E4A" w:rsidRDefault="001A3E4A" w:rsidP="00334C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C53" w:rsidRDefault="00334C53">
    <w:pPr>
      <w:pStyle w:val="Footer"/>
    </w:pPr>
    <w:r>
      <w:t xml:space="preserve">Oregon Department of </w:t>
    </w:r>
    <w:r w:rsidR="003E4521">
      <w:t>Education | April 2016</w:t>
    </w:r>
    <w:r w:rsidR="003E4521">
      <w:tab/>
    </w:r>
    <w:r w:rsidR="003E4521">
      <w:tab/>
    </w:r>
    <w:r w:rsidR="003E4521">
      <w:tab/>
    </w:r>
    <w:r w:rsidR="003E4521">
      <w:tab/>
    </w:r>
    <w:r w:rsidR="003E4521">
      <w:tab/>
      <w:t xml:space="preserve">Page </w:t>
    </w:r>
    <w:r>
      <w:rPr>
        <w:b/>
      </w:rPr>
      <w:fldChar w:fldCharType="begin"/>
    </w:r>
    <w:r>
      <w:rPr>
        <w:b/>
      </w:rPr>
      <w:instrText xml:space="preserve"> PAGE  \* Arabic  \* MERGEFORMAT </w:instrText>
    </w:r>
    <w:r>
      <w:rPr>
        <w:b/>
      </w:rPr>
      <w:fldChar w:fldCharType="separate"/>
    </w:r>
    <w:r w:rsidR="00B15032">
      <w:rPr>
        <w:b/>
        <w:noProof/>
      </w:rPr>
      <w:t>4</w:t>
    </w:r>
    <w:r>
      <w:rPr>
        <w:b/>
      </w:rPr>
      <w:fldChar w:fldCharType="end"/>
    </w:r>
    <w:r>
      <w:t xml:space="preserve"> of </w:t>
    </w:r>
    <w:r>
      <w:rPr>
        <w:b/>
      </w:rPr>
      <w:fldChar w:fldCharType="begin"/>
    </w:r>
    <w:r>
      <w:rPr>
        <w:b/>
      </w:rPr>
      <w:instrText xml:space="preserve"> NUMPAGES  \* Arabic  \* MERGEFORMAT </w:instrText>
    </w:r>
    <w:r>
      <w:rPr>
        <w:b/>
      </w:rPr>
      <w:fldChar w:fldCharType="separate"/>
    </w:r>
    <w:r w:rsidR="00B15032">
      <w:rPr>
        <w:b/>
        <w:noProof/>
      </w:rPr>
      <w:t>4</w:t>
    </w:r>
    <w:r>
      <w:rPr>
        <w: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C53" w:rsidRDefault="00334C53" w:rsidP="00334C53">
    <w:pPr>
      <w:pStyle w:val="Footer"/>
    </w:pPr>
    <w:r>
      <w:t xml:space="preserve">Oregon Department </w:t>
    </w:r>
    <w:r w:rsidR="003E4521">
      <w:t>of Education | April 2016</w:t>
    </w:r>
    <w:r w:rsidR="003E4521">
      <w:tab/>
    </w:r>
    <w:r w:rsidR="003E4521">
      <w:tab/>
    </w:r>
    <w:r w:rsidR="003E4521">
      <w:tab/>
    </w:r>
    <w:r w:rsidR="003E4521">
      <w:tab/>
    </w:r>
    <w:r w:rsidR="003E4521">
      <w:tab/>
      <w:t xml:space="preserve">Page </w:t>
    </w:r>
    <w:r>
      <w:rPr>
        <w:b/>
      </w:rPr>
      <w:fldChar w:fldCharType="begin"/>
    </w:r>
    <w:r>
      <w:rPr>
        <w:b/>
      </w:rPr>
      <w:instrText xml:space="preserve"> PAGE  \* Arabic  \* MERGEFORMAT </w:instrText>
    </w:r>
    <w:r>
      <w:rPr>
        <w:b/>
      </w:rPr>
      <w:fldChar w:fldCharType="separate"/>
    </w:r>
    <w:r w:rsidR="00B15032">
      <w:rPr>
        <w:b/>
        <w:noProof/>
      </w:rPr>
      <w:t>1</w:t>
    </w:r>
    <w:r>
      <w:rPr>
        <w:b/>
      </w:rPr>
      <w:fldChar w:fldCharType="end"/>
    </w:r>
    <w:r>
      <w:t xml:space="preserve"> of </w:t>
    </w:r>
    <w:r>
      <w:rPr>
        <w:b/>
      </w:rPr>
      <w:fldChar w:fldCharType="begin"/>
    </w:r>
    <w:r>
      <w:rPr>
        <w:b/>
      </w:rPr>
      <w:instrText xml:space="preserve"> NUMPAGES  \* Arabic  \* MERGEFORMAT </w:instrText>
    </w:r>
    <w:r>
      <w:rPr>
        <w:b/>
      </w:rPr>
      <w:fldChar w:fldCharType="separate"/>
    </w:r>
    <w:r w:rsidR="00B15032">
      <w:rPr>
        <w:b/>
        <w:noProof/>
      </w:rPr>
      <w:t>4</w:t>
    </w:r>
    <w:r>
      <w:rPr>
        <w:b/>
      </w:rPr>
      <w:fldChar w:fldCharType="end"/>
    </w:r>
  </w:p>
  <w:p w:rsidR="00334C53" w:rsidRDefault="00334C5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3E4A" w:rsidRDefault="001A3E4A" w:rsidP="00334C53">
      <w:pPr>
        <w:spacing w:after="0" w:line="240" w:lineRule="auto"/>
      </w:pPr>
      <w:r>
        <w:separator/>
      </w:r>
    </w:p>
  </w:footnote>
  <w:footnote w:type="continuationSeparator" w:id="0">
    <w:p w:rsidR="001A3E4A" w:rsidRDefault="001A3E4A" w:rsidP="00334C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C53" w:rsidRPr="00334C53" w:rsidRDefault="00334C53" w:rsidP="00334C53">
    <w:pPr>
      <w:pStyle w:val="Header"/>
      <w:tabs>
        <w:tab w:val="clear" w:pos="4680"/>
        <w:tab w:val="clear" w:pos="9360"/>
        <w:tab w:val="left" w:pos="7282"/>
      </w:tabs>
      <w:rPr>
        <w:b/>
        <w:sz w:val="28"/>
        <w:szCs w:val="28"/>
      </w:rPr>
    </w:pPr>
    <w:r w:rsidRPr="00334C53">
      <w:rPr>
        <w:rFonts w:asciiTheme="majorHAnsi" w:hAnsiTheme="majorHAnsi"/>
        <w:b/>
        <w:noProof/>
        <w:sz w:val="28"/>
        <w:szCs w:val="28"/>
      </w:rPr>
      <w:drawing>
        <wp:anchor distT="0" distB="0" distL="114300" distR="114300" simplePos="0" relativeHeight="251659264" behindDoc="0" locked="0" layoutInCell="1" allowOverlap="1" wp14:anchorId="499753AD" wp14:editId="4D71DEA0">
          <wp:simplePos x="0" y="0"/>
          <wp:positionH relativeFrom="column">
            <wp:posOffset>4644390</wp:posOffset>
          </wp:positionH>
          <wp:positionV relativeFrom="paragraph">
            <wp:posOffset>-132080</wp:posOffset>
          </wp:positionV>
          <wp:extent cx="535940" cy="426720"/>
          <wp:effectExtent l="0" t="0" r="0" b="0"/>
          <wp:wrapNone/>
          <wp:docPr id="2" name="Picture 2" descr="\\odefs\EII\A-3 SPST\LOGOS\Chief Education Board Logos\chief_education_board_logo_Blue_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defs\EII\A-3 SPST\LOGOS\Chief Education Board Logos\chief_education_board_logo_Blue_4.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5940" cy="4267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4C53">
      <w:rPr>
        <w:rFonts w:asciiTheme="majorHAnsi" w:hAnsiTheme="majorHAnsi"/>
        <w:b/>
        <w:noProof/>
        <w:sz w:val="28"/>
        <w:szCs w:val="28"/>
      </w:rPr>
      <w:drawing>
        <wp:anchor distT="0" distB="0" distL="114300" distR="114300" simplePos="0" relativeHeight="251661312" behindDoc="0" locked="0" layoutInCell="1" allowOverlap="1" wp14:anchorId="2476849B" wp14:editId="71C9F809">
          <wp:simplePos x="0" y="0"/>
          <wp:positionH relativeFrom="column">
            <wp:posOffset>5365750</wp:posOffset>
          </wp:positionH>
          <wp:positionV relativeFrom="paragraph">
            <wp:posOffset>-88900</wp:posOffset>
          </wp:positionV>
          <wp:extent cx="2193925" cy="377190"/>
          <wp:effectExtent l="0" t="0" r="0" b="3810"/>
          <wp:wrapNone/>
          <wp:docPr id="1" name="Picture 1" descr="C:\Users\simeonel\AppData\Local\Microsoft\Windows\Temporary Internet Files\Content.Outlook\EDBIPIY3\ode_logo_black_lr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imeonel\AppData\Local\Microsoft\Windows\Temporary Internet Files\Content.Outlook\EDBIPIY3\ode_logo_black_lrg.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93925" cy="3771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4C53">
      <w:rPr>
        <w:b/>
        <w:sz w:val="28"/>
        <w:szCs w:val="28"/>
      </w:rPr>
      <w:t>Math in Real Life – Sample Lesson Plan</w:t>
    </w:r>
    <w:r w:rsidRPr="00334C53">
      <w:rPr>
        <w:b/>
        <w:sz w:val="28"/>
        <w:szCs w:val="2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63031"/>
    <w:multiLevelType w:val="hybridMultilevel"/>
    <w:tmpl w:val="E9D88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B513F0"/>
    <w:multiLevelType w:val="hybridMultilevel"/>
    <w:tmpl w:val="49F6F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5A3729"/>
    <w:multiLevelType w:val="hybridMultilevel"/>
    <w:tmpl w:val="A5A2B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9A17235"/>
    <w:multiLevelType w:val="hybridMultilevel"/>
    <w:tmpl w:val="58063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A011013"/>
    <w:multiLevelType w:val="hybridMultilevel"/>
    <w:tmpl w:val="4380EC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4D13FC5"/>
    <w:multiLevelType w:val="multilevel"/>
    <w:tmpl w:val="531CE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651441F"/>
    <w:multiLevelType w:val="hybridMultilevel"/>
    <w:tmpl w:val="51CE9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5"/>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2CF"/>
    <w:rsid w:val="00015E53"/>
    <w:rsid w:val="000723A5"/>
    <w:rsid w:val="000E623E"/>
    <w:rsid w:val="00111FED"/>
    <w:rsid w:val="001921A2"/>
    <w:rsid w:val="00194B45"/>
    <w:rsid w:val="001A3E4A"/>
    <w:rsid w:val="001C6092"/>
    <w:rsid w:val="0024380E"/>
    <w:rsid w:val="00294EC3"/>
    <w:rsid w:val="002C516B"/>
    <w:rsid w:val="002C7E16"/>
    <w:rsid w:val="00303540"/>
    <w:rsid w:val="003252A3"/>
    <w:rsid w:val="00334C53"/>
    <w:rsid w:val="003D7179"/>
    <w:rsid w:val="003E4521"/>
    <w:rsid w:val="004E7562"/>
    <w:rsid w:val="004F379E"/>
    <w:rsid w:val="004F5039"/>
    <w:rsid w:val="00545DE9"/>
    <w:rsid w:val="00571419"/>
    <w:rsid w:val="00591888"/>
    <w:rsid w:val="005A35A1"/>
    <w:rsid w:val="006053DC"/>
    <w:rsid w:val="006D0B09"/>
    <w:rsid w:val="00784985"/>
    <w:rsid w:val="007E067A"/>
    <w:rsid w:val="007F00AA"/>
    <w:rsid w:val="0089735C"/>
    <w:rsid w:val="008C1E20"/>
    <w:rsid w:val="00916809"/>
    <w:rsid w:val="009D1B15"/>
    <w:rsid w:val="009E2E62"/>
    <w:rsid w:val="00AA2125"/>
    <w:rsid w:val="00AC2D56"/>
    <w:rsid w:val="00B15032"/>
    <w:rsid w:val="00B92692"/>
    <w:rsid w:val="00C678A3"/>
    <w:rsid w:val="00C87F25"/>
    <w:rsid w:val="00CC5D6E"/>
    <w:rsid w:val="00CE020D"/>
    <w:rsid w:val="00CE1232"/>
    <w:rsid w:val="00D101F5"/>
    <w:rsid w:val="00D77EC4"/>
    <w:rsid w:val="00D90916"/>
    <w:rsid w:val="00E13853"/>
    <w:rsid w:val="00E3468B"/>
    <w:rsid w:val="00F452CF"/>
    <w:rsid w:val="00F803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9F1396-8B7B-4122-B200-1495769E4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1E20"/>
  </w:style>
  <w:style w:type="paragraph" w:styleId="Heading4">
    <w:name w:val="heading 4"/>
    <w:basedOn w:val="Normal"/>
    <w:link w:val="Heading4Char"/>
    <w:uiPriority w:val="9"/>
    <w:qFormat/>
    <w:rsid w:val="000E623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452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C1E20"/>
    <w:pPr>
      <w:ind w:left="720"/>
      <w:contextualSpacing/>
    </w:pPr>
  </w:style>
  <w:style w:type="character" w:styleId="Hyperlink">
    <w:name w:val="Hyperlink"/>
    <w:basedOn w:val="DefaultParagraphFont"/>
    <w:uiPriority w:val="99"/>
    <w:unhideWhenUsed/>
    <w:rsid w:val="00C87F25"/>
    <w:rPr>
      <w:color w:val="0000FF" w:themeColor="hyperlink"/>
      <w:u w:val="single"/>
    </w:rPr>
  </w:style>
  <w:style w:type="paragraph" w:styleId="Header">
    <w:name w:val="header"/>
    <w:basedOn w:val="Normal"/>
    <w:link w:val="HeaderChar"/>
    <w:uiPriority w:val="99"/>
    <w:unhideWhenUsed/>
    <w:rsid w:val="00334C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4C53"/>
  </w:style>
  <w:style w:type="paragraph" w:styleId="Footer">
    <w:name w:val="footer"/>
    <w:basedOn w:val="Normal"/>
    <w:link w:val="FooterChar"/>
    <w:uiPriority w:val="99"/>
    <w:unhideWhenUsed/>
    <w:rsid w:val="00334C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4C53"/>
  </w:style>
  <w:style w:type="paragraph" w:styleId="BalloonText">
    <w:name w:val="Balloon Text"/>
    <w:basedOn w:val="Normal"/>
    <w:link w:val="BalloonTextChar"/>
    <w:uiPriority w:val="99"/>
    <w:semiHidden/>
    <w:unhideWhenUsed/>
    <w:rsid w:val="00545D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5DE9"/>
    <w:rPr>
      <w:rFonts w:ascii="Tahoma" w:hAnsi="Tahoma" w:cs="Tahoma"/>
      <w:sz w:val="16"/>
      <w:szCs w:val="16"/>
    </w:rPr>
  </w:style>
  <w:style w:type="character" w:customStyle="1" w:styleId="Heading4Char">
    <w:name w:val="Heading 4 Char"/>
    <w:basedOn w:val="DefaultParagraphFont"/>
    <w:link w:val="Heading4"/>
    <w:uiPriority w:val="9"/>
    <w:rsid w:val="000E623E"/>
    <w:rPr>
      <w:rFonts w:ascii="Times New Roman" w:eastAsia="Times New Roman" w:hAnsi="Times New Roman" w:cs="Times New Roman"/>
      <w:b/>
      <w:bCs/>
      <w:sz w:val="24"/>
      <w:szCs w:val="24"/>
    </w:rPr>
  </w:style>
  <w:style w:type="character" w:customStyle="1" w:styleId="popup">
    <w:name w:val="popup"/>
    <w:basedOn w:val="DefaultParagraphFont"/>
    <w:rsid w:val="000E623E"/>
  </w:style>
  <w:style w:type="character" w:customStyle="1" w:styleId="apple-converted-space">
    <w:name w:val="apple-converted-space"/>
    <w:basedOn w:val="DefaultParagraphFont"/>
    <w:rsid w:val="000E623E"/>
  </w:style>
  <w:style w:type="paragraph" w:styleId="NormalWeb">
    <w:name w:val="Normal (Web)"/>
    <w:basedOn w:val="Normal"/>
    <w:uiPriority w:val="99"/>
    <w:semiHidden/>
    <w:unhideWhenUsed/>
    <w:rsid w:val="000E623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9100115">
      <w:bodyDiv w:val="1"/>
      <w:marLeft w:val="0"/>
      <w:marRight w:val="0"/>
      <w:marTop w:val="0"/>
      <w:marBottom w:val="0"/>
      <w:divBdr>
        <w:top w:val="none" w:sz="0" w:space="0" w:color="auto"/>
        <w:left w:val="none" w:sz="0" w:space="0" w:color="auto"/>
        <w:bottom w:val="none" w:sz="0" w:space="0" w:color="auto"/>
        <w:right w:val="none" w:sz="0" w:space="0" w:color="auto"/>
      </w:divBdr>
      <w:divsChild>
        <w:div w:id="1611549275">
          <w:marLeft w:val="0"/>
          <w:marRight w:val="0"/>
          <w:marTop w:val="150"/>
          <w:marBottom w:val="0"/>
          <w:divBdr>
            <w:top w:val="none" w:sz="0" w:space="0" w:color="auto"/>
            <w:left w:val="none" w:sz="0" w:space="0" w:color="auto"/>
            <w:bottom w:val="none" w:sz="0" w:space="0" w:color="auto"/>
            <w:right w:val="none" w:sz="0" w:space="0" w:color="auto"/>
          </w:divBdr>
          <w:divsChild>
            <w:div w:id="203566613">
              <w:marLeft w:val="0"/>
              <w:marRight w:val="0"/>
              <w:marTop w:val="0"/>
              <w:marBottom w:val="0"/>
              <w:divBdr>
                <w:top w:val="none" w:sz="0" w:space="0" w:color="auto"/>
                <w:left w:val="none" w:sz="0" w:space="0" w:color="auto"/>
                <w:bottom w:val="single" w:sz="6" w:space="6" w:color="EBEBEB"/>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ap.mathshell.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205538-F068-4EE7-BF45-46F2EAFA4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683</Words>
  <Characters>3898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Oregon Department of Education</Company>
  <LinksUpToDate>false</LinksUpToDate>
  <CharactersWithSpaces>4572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THOMPSON Tom - ODE</dc:creator>
  <cp:lastModifiedBy>Dickey, Ken</cp:lastModifiedBy>
  <cp:revision>3</cp:revision>
  <cp:lastPrinted>2016-04-14T21:42:00Z</cp:lastPrinted>
  <dcterms:created xsi:type="dcterms:W3CDTF">2016-10-14T14:32:00Z</dcterms:created>
  <dcterms:modified xsi:type="dcterms:W3CDTF">2016-10-14T14:38:00Z</dcterms:modified>
</cp:coreProperties>
</file>