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2C7CDB" w14:textId="1C262AA6" w:rsidR="003F39D9" w:rsidRDefault="00007FC3" w:rsidP="003F39D9">
      <w:pPr>
        <w:rPr>
          <w:b/>
          <w:sz w:val="30"/>
          <w:szCs w:val="30"/>
        </w:rPr>
      </w:pPr>
      <w:r>
        <w:rPr>
          <w:b/>
          <w:bCs/>
          <w:sz w:val="30"/>
          <w:szCs w:val="30"/>
        </w:rPr>
        <w:t xml:space="preserve">3.4 </w:t>
      </w:r>
      <w:r w:rsidR="003F39D9">
        <w:rPr>
          <w:b/>
          <w:bCs/>
          <w:sz w:val="30"/>
          <w:szCs w:val="30"/>
        </w:rPr>
        <w:t>No</w:t>
      </w:r>
      <w:r w:rsidR="003F39D9" w:rsidRPr="008C172F">
        <w:rPr>
          <w:b/>
          <w:bCs/>
          <w:sz w:val="30"/>
          <w:szCs w:val="30"/>
        </w:rPr>
        <w:t>t</w:t>
      </w:r>
      <w:r w:rsidR="003F39D9">
        <w:rPr>
          <w:b/>
          <w:bCs/>
          <w:sz w:val="30"/>
          <w:szCs w:val="30"/>
        </w:rPr>
        <w:t>es</w:t>
      </w:r>
      <w:r w:rsidR="003F39D9" w:rsidRPr="008C172F">
        <w:rPr>
          <w:sz w:val="30"/>
          <w:szCs w:val="30"/>
        </w:rPr>
        <w:t>:</w:t>
      </w:r>
      <w:r w:rsidR="003F39D9">
        <w:rPr>
          <w:b/>
          <w:sz w:val="30"/>
          <w:szCs w:val="30"/>
        </w:rPr>
        <w:t xml:space="preserve"> Filling out Excel Notebook</w:t>
      </w:r>
    </w:p>
    <w:p w14:paraId="15C98496" w14:textId="1774D0A7" w:rsidR="003F39D9" w:rsidRDefault="003F39D9" w:rsidP="00E31DE5">
      <w:pPr>
        <w:spacing w:line="120" w:lineRule="auto"/>
        <w:rPr>
          <w:b/>
          <w:sz w:val="30"/>
          <w:szCs w:val="30"/>
        </w:rPr>
      </w:pPr>
    </w:p>
    <w:p w14:paraId="4A36129C" w14:textId="06EF38C3" w:rsidR="00C455BF" w:rsidRDefault="00C455BF" w:rsidP="003F39D9">
      <w:pPr>
        <w:rPr>
          <w:bCs/>
          <w:i/>
          <w:iCs/>
        </w:rPr>
      </w:pPr>
      <w:r w:rsidRPr="00C455BF">
        <w:rPr>
          <w:bCs/>
          <w:i/>
          <w:iCs/>
        </w:rPr>
        <w:sym w:font="Symbol" w:char="F02A"/>
      </w:r>
      <w:r w:rsidRPr="00C455BF">
        <w:rPr>
          <w:bCs/>
          <w:i/>
          <w:iCs/>
        </w:rPr>
        <w:t xml:space="preserve"> The excel notebook for this assignment is locked so that only the cells that you will fill in with student calculations can be altered. In the case that you need to alter other cells, the password to unlock the notebook is “</w:t>
      </w:r>
      <w:proofErr w:type="spellStart"/>
      <w:r w:rsidRPr="00C455BF">
        <w:rPr>
          <w:bCs/>
          <w:i/>
          <w:iCs/>
        </w:rPr>
        <w:t>seaice</w:t>
      </w:r>
      <w:proofErr w:type="spellEnd"/>
      <w:r w:rsidRPr="00C455BF">
        <w:rPr>
          <w:bCs/>
          <w:i/>
          <w:iCs/>
        </w:rPr>
        <w:t>”</w:t>
      </w:r>
    </w:p>
    <w:p w14:paraId="2261357B" w14:textId="77777777" w:rsidR="00E31DE5" w:rsidRPr="00E31DE5" w:rsidRDefault="00E31DE5" w:rsidP="00E31DE5">
      <w:pPr>
        <w:spacing w:line="120" w:lineRule="auto"/>
        <w:rPr>
          <w:bCs/>
          <w:i/>
          <w:iCs/>
        </w:rPr>
      </w:pPr>
    </w:p>
    <w:p w14:paraId="07FB8443" w14:textId="5A0B1234" w:rsidR="003F39D9" w:rsidRDefault="003F39D9" w:rsidP="003F39D9">
      <w:pPr>
        <w:pStyle w:val="ListParagraph"/>
        <w:numPr>
          <w:ilvl w:val="0"/>
          <w:numId w:val="2"/>
        </w:numPr>
        <w:rPr>
          <w:bCs/>
        </w:rPr>
      </w:pPr>
      <w:r>
        <w:rPr>
          <w:bCs/>
        </w:rPr>
        <w:t xml:space="preserve">Enter the students’ forecasted locations for the buoy at locations D into the </w:t>
      </w:r>
      <w:r w:rsidR="003A5776">
        <w:rPr>
          <w:bCs/>
        </w:rPr>
        <w:t xml:space="preserve">empty </w:t>
      </w:r>
      <w:r w:rsidR="00F734A8">
        <w:rPr>
          <w:bCs/>
        </w:rPr>
        <w:t xml:space="preserve">blue and green </w:t>
      </w:r>
      <w:r w:rsidR="003A5776">
        <w:rPr>
          <w:bCs/>
        </w:rPr>
        <w:t>colored cells</w:t>
      </w:r>
      <w:r w:rsidR="00F734A8">
        <w:rPr>
          <w:bCs/>
        </w:rPr>
        <w:t>, columns J and K,</w:t>
      </w:r>
      <w:r w:rsidR="003A5776">
        <w:rPr>
          <w:bCs/>
        </w:rPr>
        <w:t xml:space="preserve"> in the </w:t>
      </w:r>
      <w:r>
        <w:rPr>
          <w:bCs/>
        </w:rPr>
        <w:t>excel notebook provided.</w:t>
      </w:r>
      <w:r w:rsidR="003475C1">
        <w:rPr>
          <w:bCs/>
        </w:rPr>
        <w:t xml:space="preserve"> This should make a plot showing the forecasts of the buoy calculated by the students.</w:t>
      </w:r>
    </w:p>
    <w:p w14:paraId="60126AC4" w14:textId="71F1E7B1" w:rsidR="003F39D9" w:rsidRPr="003F39D9" w:rsidRDefault="003F39D9" w:rsidP="003F39D9">
      <w:pPr>
        <w:pStyle w:val="ListParagraph"/>
        <w:numPr>
          <w:ilvl w:val="0"/>
          <w:numId w:val="2"/>
        </w:numPr>
        <w:rPr>
          <w:bCs/>
        </w:rPr>
      </w:pPr>
      <w:r>
        <w:rPr>
          <w:bCs/>
        </w:rPr>
        <w:t>Look at the forecast plot, it should look similar to below:</w:t>
      </w:r>
    </w:p>
    <w:p w14:paraId="20EC2550" w14:textId="77777777" w:rsidR="003F39D9" w:rsidRPr="003F39D9" w:rsidRDefault="003F39D9" w:rsidP="00E31DE5">
      <w:pPr>
        <w:spacing w:line="120" w:lineRule="auto"/>
        <w:rPr>
          <w:bCs/>
        </w:rPr>
      </w:pPr>
    </w:p>
    <w:p w14:paraId="3B0A93F1" w14:textId="2AFD7ED9" w:rsidR="003F39D9" w:rsidRDefault="003F39D9" w:rsidP="003F39D9">
      <w:pPr>
        <w:jc w:val="center"/>
        <w:rPr>
          <w:b/>
          <w:sz w:val="30"/>
          <w:szCs w:val="30"/>
        </w:rPr>
      </w:pPr>
      <w:r w:rsidRPr="003F39D9">
        <w:rPr>
          <w:noProof/>
        </w:rPr>
        <w:drawing>
          <wp:inline distT="0" distB="0" distL="0" distR="0" wp14:anchorId="465D5FD8" wp14:editId="676F0269">
            <wp:extent cx="2089802" cy="2373086"/>
            <wp:effectExtent l="0" t="0" r="571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2102416" cy="2387410"/>
                    </a:xfrm>
                    <a:prstGeom prst="rect">
                      <a:avLst/>
                    </a:prstGeom>
                  </pic:spPr>
                </pic:pic>
              </a:graphicData>
            </a:graphic>
          </wp:inline>
        </w:drawing>
      </w:r>
    </w:p>
    <w:p w14:paraId="59F8019A" w14:textId="77777777" w:rsidR="003F39D9" w:rsidRDefault="003F39D9" w:rsidP="00E31DE5">
      <w:pPr>
        <w:spacing w:line="120" w:lineRule="auto"/>
        <w:jc w:val="center"/>
        <w:rPr>
          <w:b/>
          <w:sz w:val="30"/>
          <w:szCs w:val="30"/>
        </w:rPr>
      </w:pPr>
    </w:p>
    <w:p w14:paraId="32408A23" w14:textId="4DB26148" w:rsidR="003F39D9" w:rsidRPr="003F39D9" w:rsidRDefault="003F39D9" w:rsidP="003F39D9">
      <w:pPr>
        <w:pStyle w:val="ListParagraph"/>
        <w:numPr>
          <w:ilvl w:val="0"/>
          <w:numId w:val="3"/>
        </w:numPr>
        <w:rPr>
          <w:b/>
          <w:sz w:val="30"/>
          <w:szCs w:val="30"/>
        </w:rPr>
      </w:pPr>
      <w:r>
        <w:rPr>
          <w:bCs/>
        </w:rPr>
        <w:t xml:space="preserve">The blue curve indicates the recorded path of the buoy, with the blue dots indicating the </w:t>
      </w:r>
      <w:proofErr w:type="spellStart"/>
      <w:r>
        <w:rPr>
          <w:bCs/>
        </w:rPr>
        <w:t>buoy’s</w:t>
      </w:r>
      <w:proofErr w:type="spellEnd"/>
      <w:r>
        <w:rPr>
          <w:bCs/>
        </w:rPr>
        <w:t xml:space="preserve"> location at the beginning of each new day. The red lines indicate the forecast of the buoy beginning on a given day and continuing over an entire day.</w:t>
      </w:r>
    </w:p>
    <w:p w14:paraId="4F4AD322" w14:textId="676E5492" w:rsidR="003F39D9" w:rsidRDefault="003F39D9" w:rsidP="00F939E7">
      <w:pPr>
        <w:spacing w:line="120" w:lineRule="auto"/>
        <w:rPr>
          <w:b/>
          <w:sz w:val="30"/>
          <w:szCs w:val="30"/>
        </w:rPr>
      </w:pPr>
    </w:p>
    <w:p w14:paraId="0974B0F9" w14:textId="77345501" w:rsidR="00EC031A" w:rsidRPr="00E31DE5" w:rsidRDefault="003F39D9" w:rsidP="00E31DE5">
      <w:pPr>
        <w:pStyle w:val="ListParagraph"/>
        <w:numPr>
          <w:ilvl w:val="0"/>
          <w:numId w:val="3"/>
        </w:numPr>
        <w:rPr>
          <w:b/>
          <w:sz w:val="30"/>
          <w:szCs w:val="30"/>
        </w:rPr>
      </w:pPr>
      <w:r>
        <w:rPr>
          <w:bCs/>
        </w:rPr>
        <w:t xml:space="preserve">Compare this plot to the one below, where forecasts were taken by calculating the </w:t>
      </w:r>
      <w:proofErr w:type="spellStart"/>
      <w:r>
        <w:rPr>
          <w:bCs/>
        </w:rPr>
        <w:t>buoy’s</w:t>
      </w:r>
      <w:proofErr w:type="spellEnd"/>
      <w:r>
        <w:rPr>
          <w:bCs/>
        </w:rPr>
        <w:t xml:space="preserve"> trajectory over ¼ of a day and extending the drift out </w:t>
      </w:r>
      <w:r w:rsidR="00EC031A">
        <w:rPr>
          <w:bCs/>
        </w:rPr>
        <w:t>for ¼ of a day. Why might this plot look different? How is it different?</w:t>
      </w:r>
    </w:p>
    <w:p w14:paraId="41FDAC32" w14:textId="5DFCE682" w:rsidR="003F39D9" w:rsidRDefault="00EC031A" w:rsidP="00EC031A">
      <w:pPr>
        <w:jc w:val="center"/>
        <w:rPr>
          <w:noProof/>
        </w:rPr>
      </w:pPr>
      <w:r w:rsidRPr="003F39D9">
        <w:rPr>
          <w:noProof/>
        </w:rPr>
        <w:drawing>
          <wp:inline distT="0" distB="0" distL="0" distR="0" wp14:anchorId="424FF7DF" wp14:editId="0243A03E">
            <wp:extent cx="2004776" cy="2476765"/>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078143" cy="2567405"/>
                    </a:xfrm>
                    <a:prstGeom prst="rect">
                      <a:avLst/>
                    </a:prstGeom>
                  </pic:spPr>
                </pic:pic>
              </a:graphicData>
            </a:graphic>
          </wp:inline>
        </w:drawing>
      </w:r>
    </w:p>
    <w:p w14:paraId="4A23EA09" w14:textId="6A04C6AD" w:rsidR="006F3698" w:rsidRDefault="006F3698" w:rsidP="006F3698">
      <w:pPr>
        <w:pStyle w:val="ListParagraph"/>
        <w:numPr>
          <w:ilvl w:val="0"/>
          <w:numId w:val="4"/>
        </w:numPr>
        <w:rPr>
          <w:noProof/>
        </w:rPr>
      </w:pPr>
      <w:r>
        <w:rPr>
          <w:noProof/>
        </w:rPr>
        <w:lastRenderedPageBreak/>
        <w:t xml:space="preserve">Work through worksheet 3.3 with the students, allowing each of them to calculate the </w:t>
      </w:r>
      <w:r w:rsidR="00A61A98">
        <w:rPr>
          <w:noProof/>
        </w:rPr>
        <w:t>e</w:t>
      </w:r>
      <w:r>
        <w:rPr>
          <w:noProof/>
        </w:rPr>
        <w:t xml:space="preserve">rror for their forecast. Enter the error into the </w:t>
      </w:r>
      <w:r w:rsidR="00A61A98">
        <w:rPr>
          <w:noProof/>
        </w:rPr>
        <w:t xml:space="preserve">empty purple </w:t>
      </w:r>
      <w:r w:rsidR="00752629">
        <w:rPr>
          <w:noProof/>
        </w:rPr>
        <w:t>colored cells</w:t>
      </w:r>
      <w:r w:rsidR="00A61A98">
        <w:rPr>
          <w:noProof/>
        </w:rPr>
        <w:t xml:space="preserve">, column </w:t>
      </w:r>
      <w:r w:rsidR="00CF63B4">
        <w:rPr>
          <w:noProof/>
        </w:rPr>
        <w:t>M</w:t>
      </w:r>
      <w:r w:rsidR="00A61A98">
        <w:rPr>
          <w:noProof/>
        </w:rPr>
        <w:t>,</w:t>
      </w:r>
      <w:r w:rsidR="00752629">
        <w:rPr>
          <w:noProof/>
        </w:rPr>
        <w:t xml:space="preserve"> in the </w:t>
      </w:r>
      <w:r w:rsidR="003A5776">
        <w:rPr>
          <w:noProof/>
        </w:rPr>
        <w:t>excel</w:t>
      </w:r>
      <w:r>
        <w:rPr>
          <w:noProof/>
        </w:rPr>
        <w:t>workbook</w:t>
      </w:r>
      <w:r w:rsidR="00A61A98">
        <w:rPr>
          <w:noProof/>
        </w:rPr>
        <w:t>.</w:t>
      </w:r>
      <w:r>
        <w:rPr>
          <w:noProof/>
        </w:rPr>
        <w:t xml:space="preserve"> </w:t>
      </w:r>
      <w:r w:rsidR="00A61A98">
        <w:rPr>
          <w:noProof/>
        </w:rPr>
        <w:t>The workbook</w:t>
      </w:r>
      <w:r>
        <w:rPr>
          <w:noProof/>
        </w:rPr>
        <w:t xml:space="preserve"> will calculate the mean of the errors. Discuss with the class.</w:t>
      </w:r>
    </w:p>
    <w:p w14:paraId="5EC600EC" w14:textId="77777777" w:rsidR="006F3698" w:rsidRDefault="006F3698" w:rsidP="006F3698">
      <w:pPr>
        <w:pStyle w:val="ListParagraph"/>
        <w:rPr>
          <w:noProof/>
        </w:rPr>
      </w:pPr>
    </w:p>
    <w:p w14:paraId="2ACBA33C" w14:textId="70BA29E0" w:rsidR="006F3698" w:rsidRDefault="006F3698" w:rsidP="006F3698">
      <w:pPr>
        <w:pStyle w:val="ListParagraph"/>
        <w:numPr>
          <w:ilvl w:val="0"/>
          <w:numId w:val="4"/>
        </w:numPr>
        <w:rPr>
          <w:noProof/>
        </w:rPr>
      </w:pPr>
      <w:r>
        <w:rPr>
          <w:noProof/>
        </w:rPr>
        <w:t>Below shows the error for many forecasts carried out over the same overall time window but for ¼ day forecasts. Does this distributio</w:t>
      </w:r>
      <w:r w:rsidR="00FC450B">
        <w:rPr>
          <w:noProof/>
        </w:rPr>
        <w:t>n</w:t>
      </w:r>
      <w:r>
        <w:rPr>
          <w:noProof/>
        </w:rPr>
        <w:t xml:space="preserve"> look familiar?</w:t>
      </w:r>
    </w:p>
    <w:p w14:paraId="42117195" w14:textId="77777777" w:rsidR="006F3698" w:rsidRDefault="006F3698" w:rsidP="006F3698">
      <w:pPr>
        <w:rPr>
          <w:noProof/>
        </w:rPr>
      </w:pPr>
    </w:p>
    <w:p w14:paraId="06047B4D" w14:textId="299D42C2" w:rsidR="00366CBE" w:rsidRDefault="00262617" w:rsidP="006F3698">
      <w:pPr>
        <w:jc w:val="center"/>
      </w:pPr>
      <w:r w:rsidRPr="00262617">
        <w:rPr>
          <w:noProof/>
        </w:rPr>
        <w:t xml:space="preserve"> </w:t>
      </w:r>
      <w:r w:rsidRPr="00262617">
        <w:drawing>
          <wp:inline distT="0" distB="0" distL="0" distR="0" wp14:anchorId="03D35AA4" wp14:editId="2F9054EE">
            <wp:extent cx="3668629" cy="3571426"/>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676377" cy="3578969"/>
                    </a:xfrm>
                    <a:prstGeom prst="rect">
                      <a:avLst/>
                    </a:prstGeom>
                  </pic:spPr>
                </pic:pic>
              </a:graphicData>
            </a:graphic>
          </wp:inline>
        </w:drawing>
      </w:r>
    </w:p>
    <w:p w14:paraId="5D83BDD2" w14:textId="22160E9D" w:rsidR="0048210E" w:rsidRDefault="0048210E" w:rsidP="006F3698">
      <w:pPr>
        <w:jc w:val="center"/>
      </w:pPr>
    </w:p>
    <w:p w14:paraId="5A707D6F" w14:textId="3102788B" w:rsidR="00307D91" w:rsidRDefault="0048210E" w:rsidP="0048210E">
      <w:r>
        <w:t>As more data points are added this distribution would start to look like a Gaussian (normal) distribution.</w:t>
      </w:r>
      <w:r w:rsidR="00307D91">
        <w:t xml:space="preserve"> T</w:t>
      </w:r>
      <w:r>
        <w:t xml:space="preserve">he mean of the model-observation differences </w:t>
      </w:r>
      <w:r w:rsidR="00307D91">
        <w:t>is the</w:t>
      </w:r>
      <w:r>
        <w:t xml:space="preserve"> average</w:t>
      </w:r>
      <w:r w:rsidR="00307D91">
        <w:t xml:space="preserve"> error</w:t>
      </w:r>
      <w:r>
        <w:t>.</w:t>
      </w:r>
      <w:r w:rsidR="00307D91">
        <w:t xml:space="preserve"> As the distribution is Gaussian with a peak at the mean value, the mean is the most frequently encountered error. </w:t>
      </w:r>
    </w:p>
    <w:p w14:paraId="46D74284" w14:textId="3AA58409" w:rsidR="00222A82" w:rsidRDefault="00222A82" w:rsidP="0048210E"/>
    <w:p w14:paraId="0777D470" w14:textId="77777777" w:rsidR="00262617" w:rsidRDefault="00262617" w:rsidP="00D95EFD">
      <w:pPr>
        <w:jc w:val="center"/>
        <w:rPr>
          <w:rFonts w:ascii="Times New Roman" w:eastAsia="Times New Roman" w:hAnsi="Times New Roman" w:cs="Times New Roman"/>
        </w:rPr>
      </w:pPr>
    </w:p>
    <w:p w14:paraId="57B906AF" w14:textId="77777777" w:rsidR="00262617" w:rsidRDefault="00262617" w:rsidP="00D95EFD">
      <w:pPr>
        <w:jc w:val="center"/>
        <w:rPr>
          <w:rFonts w:ascii="Times New Roman" w:eastAsia="Times New Roman" w:hAnsi="Times New Roman" w:cs="Times New Roman"/>
        </w:rPr>
      </w:pPr>
    </w:p>
    <w:p w14:paraId="3BC56F4C" w14:textId="77777777" w:rsidR="00262617" w:rsidRDefault="00262617" w:rsidP="00D95EFD">
      <w:pPr>
        <w:jc w:val="center"/>
        <w:rPr>
          <w:rFonts w:ascii="Times New Roman" w:eastAsia="Times New Roman" w:hAnsi="Times New Roman" w:cs="Times New Roman"/>
        </w:rPr>
      </w:pPr>
    </w:p>
    <w:p w14:paraId="0D0B67CC" w14:textId="77777777" w:rsidR="00262617" w:rsidRDefault="00262617" w:rsidP="00D95EFD">
      <w:pPr>
        <w:jc w:val="center"/>
        <w:rPr>
          <w:rFonts w:ascii="Times New Roman" w:eastAsia="Times New Roman" w:hAnsi="Times New Roman" w:cs="Times New Roman"/>
        </w:rPr>
      </w:pPr>
    </w:p>
    <w:p w14:paraId="6B70D59F" w14:textId="77777777" w:rsidR="00262617" w:rsidRDefault="00262617" w:rsidP="00D95EFD">
      <w:pPr>
        <w:jc w:val="center"/>
        <w:rPr>
          <w:rFonts w:ascii="Times New Roman" w:eastAsia="Times New Roman" w:hAnsi="Times New Roman" w:cs="Times New Roman"/>
        </w:rPr>
      </w:pPr>
    </w:p>
    <w:p w14:paraId="029A3B09" w14:textId="77777777" w:rsidR="00262617" w:rsidRDefault="00262617" w:rsidP="00D95EFD">
      <w:pPr>
        <w:jc w:val="center"/>
        <w:rPr>
          <w:rFonts w:ascii="Times New Roman" w:eastAsia="Times New Roman" w:hAnsi="Times New Roman" w:cs="Times New Roman"/>
        </w:rPr>
      </w:pPr>
    </w:p>
    <w:p w14:paraId="6F96E3E2" w14:textId="77777777" w:rsidR="00262617" w:rsidRDefault="00262617" w:rsidP="00D95EFD">
      <w:pPr>
        <w:jc w:val="center"/>
        <w:rPr>
          <w:rFonts w:ascii="Times New Roman" w:eastAsia="Times New Roman" w:hAnsi="Times New Roman" w:cs="Times New Roman"/>
        </w:rPr>
      </w:pPr>
    </w:p>
    <w:p w14:paraId="3F5FC6CC" w14:textId="6EA6400E" w:rsidR="00262617" w:rsidRDefault="00190D06" w:rsidP="00190D06">
      <w:pPr>
        <w:jc w:val="center"/>
        <w:rPr>
          <w:rFonts w:ascii="Times New Roman" w:eastAsia="Times New Roman" w:hAnsi="Times New Roman" w:cs="Times New Roman"/>
        </w:rPr>
      </w:pPr>
      <w:r>
        <w:rPr>
          <w:noProof/>
        </w:rPr>
        <w:lastRenderedPageBreak/>
        <w:drawing>
          <wp:inline distT="0" distB="0" distL="0" distR="0" wp14:anchorId="4F8AD9CB" wp14:editId="658181F3">
            <wp:extent cx="3353158" cy="316830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59647" cy="3174435"/>
                    </a:xfrm>
                    <a:prstGeom prst="rect">
                      <a:avLst/>
                    </a:prstGeom>
                  </pic:spPr>
                </pic:pic>
              </a:graphicData>
            </a:graphic>
          </wp:inline>
        </w:drawing>
      </w:r>
    </w:p>
    <w:p w14:paraId="5C653889" w14:textId="77777777" w:rsidR="00262617" w:rsidRDefault="00262617" w:rsidP="00D95EFD">
      <w:pPr>
        <w:jc w:val="center"/>
        <w:rPr>
          <w:rFonts w:ascii="Times New Roman" w:eastAsia="Times New Roman" w:hAnsi="Times New Roman" w:cs="Times New Roman"/>
        </w:rPr>
      </w:pPr>
    </w:p>
    <w:p w14:paraId="36218984" w14:textId="0BDB7495" w:rsidR="00D95EFD" w:rsidRPr="00D95EFD" w:rsidRDefault="00D95EFD" w:rsidP="00D95EFD">
      <w:pPr>
        <w:jc w:val="center"/>
        <w:rPr>
          <w:rFonts w:ascii="Times New Roman" w:eastAsia="Times New Roman" w:hAnsi="Times New Roman" w:cs="Times New Roman"/>
        </w:rPr>
      </w:pPr>
      <w:r>
        <w:rPr>
          <w:rFonts w:ascii="Times New Roman" w:eastAsia="Times New Roman" w:hAnsi="Times New Roman" w:cs="Times New Roman"/>
        </w:rPr>
        <w:t>A Gaussian curve. The distribution is centered around the mean value. Frequency is the probability of a value occurring. One standard deviation either side of the mean encloses 68.2% of the values under the curve.</w:t>
      </w:r>
    </w:p>
    <w:p w14:paraId="32444D73" w14:textId="031BA133" w:rsidR="00D95EFD" w:rsidRPr="00D95EFD" w:rsidRDefault="00D95EFD" w:rsidP="00D95EFD">
      <w:pPr>
        <w:jc w:val="center"/>
        <w:rPr>
          <w:rFonts w:ascii="Times New Roman" w:eastAsia="Times New Roman" w:hAnsi="Times New Roman" w:cs="Times New Roman"/>
        </w:rPr>
      </w:pPr>
    </w:p>
    <w:p w14:paraId="2844DCFD" w14:textId="7DFB2A92" w:rsidR="00307D91" w:rsidRDefault="00307D91" w:rsidP="0048210E"/>
    <w:p w14:paraId="6046CA73" w14:textId="5EF026F2" w:rsidR="00307D91" w:rsidRDefault="00307D91" w:rsidP="00307D91">
      <w:pPr>
        <w:rPr>
          <w:rFonts w:eastAsiaTheme="minorEastAsia"/>
        </w:rPr>
      </w:pPr>
      <w:r>
        <w:t xml:space="preserve">Mean </w:t>
      </w:r>
      <w:r w:rsidR="00A25068">
        <w:t>deviation</w:t>
      </w:r>
      <w:r w:rsidR="001C61CE">
        <w:t xml:space="preserve">: </w:t>
      </w:r>
      <w:r>
        <w:t xml:space="preserve"> </w:t>
      </w:r>
      <w:r w:rsidR="008A7353">
        <w:t xml:space="preserve"> </w:t>
      </w:r>
      <m:oMath>
        <m:r>
          <w:rPr>
            <w:rFonts w:ascii="Cambria Math" w:hAnsi="Cambria Math"/>
          </w:rPr>
          <m:t>μ</m:t>
        </m:r>
        <m:r>
          <w:rPr>
            <w:rFonts w:ascii="Cambria Math" w:hAnsi="Cambria Math"/>
          </w:rPr>
          <m:t xml:space="preserve">= </m:t>
        </m:r>
        <m:f>
          <m:fPr>
            <m:ctrlPr>
              <w:rPr>
                <w:rFonts w:ascii="Cambria Math" w:eastAsiaTheme="minorEastAsia" w:hAnsi="Cambria Math"/>
                <w:i/>
              </w:rPr>
            </m:ctrlPr>
          </m:fPr>
          <m:num>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r>
                  <w:rPr>
                    <w:rFonts w:ascii="Cambria Math" w:eastAsiaTheme="minorEastAsia" w:hAnsi="Cambria Math"/>
                  </w:rPr>
                  <m:t xml:space="preserve"> – </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R</m:t>
                    </m:r>
                  </m:sub>
                </m:sSub>
                <m:r>
                  <w:rPr>
                    <w:rFonts w:ascii="Cambria Math" w:eastAsiaTheme="minorEastAsia" w:hAnsi="Cambria Math"/>
                  </w:rPr>
                  <m:t>)</m:t>
                </m:r>
              </m:e>
            </m:nary>
          </m:num>
          <m:den>
            <m:r>
              <w:rPr>
                <w:rFonts w:ascii="Cambria Math" w:eastAsiaTheme="minorEastAsia" w:hAnsi="Cambria Math"/>
              </w:rPr>
              <m:t>n</m:t>
            </m:r>
          </m:den>
        </m:f>
        <m:r>
          <w:rPr>
            <w:rFonts w:ascii="Cambria Math" w:eastAsiaTheme="minorEastAsia" w:hAnsi="Cambria Math"/>
          </w:rPr>
          <m:t xml:space="preserve">  = -1.2 km</m:t>
        </m:r>
      </m:oMath>
    </w:p>
    <w:p w14:paraId="279D26EA" w14:textId="0513A315" w:rsidR="00307D91" w:rsidRDefault="00307D91" w:rsidP="0048210E"/>
    <w:p w14:paraId="4EAB5042" w14:textId="00F60A4B" w:rsidR="00222A82" w:rsidRDefault="00222A82" w:rsidP="0048210E">
      <w:r>
        <w:t xml:space="preserve">If this mean is non-zero it indicates the forecast model is biased. In the case of a persistence forecast we might expect no bias, </w:t>
      </w:r>
      <w:r>
        <w:rPr>
          <w:rFonts w:ascii="Symbol" w:hAnsi="Symbol"/>
        </w:rPr>
        <w:t></w:t>
      </w:r>
      <w:r>
        <w:rPr>
          <w:rFonts w:ascii="Symbol" w:hAnsi="Symbol"/>
        </w:rPr>
        <w:t></w:t>
      </w:r>
      <w:r>
        <w:t xml:space="preserve"> = 0. The reason we do not see this with our data is because we only have a small sample and the distribution of deviations is not well represented. With more data we expect the distribution to become more gaussian centered on zero.</w:t>
      </w:r>
    </w:p>
    <w:p w14:paraId="41AF955B" w14:textId="77777777" w:rsidR="00222A82" w:rsidRDefault="00222A82" w:rsidP="0048210E"/>
    <w:p w14:paraId="0FF64333" w14:textId="69D53767" w:rsidR="00307D91" w:rsidRPr="00307D91" w:rsidRDefault="00307D91" w:rsidP="0048210E">
      <w:r>
        <w:t xml:space="preserve">As the forecast may be slow or fast, having positive or negative errors, it can be instructive to think about the mean of the absolute errors. This is the magnitude of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r>
          <w:rPr>
            <w:rFonts w:ascii="Cambria Math" w:eastAsiaTheme="minorEastAsia" w:hAnsi="Cambria Math"/>
          </w:rPr>
          <m:t xml:space="preserve"> – </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R</m:t>
            </m:r>
          </m:sub>
        </m:sSub>
      </m:oMath>
      <w:r>
        <w:rPr>
          <w:rFonts w:eastAsiaTheme="minorEastAsia"/>
        </w:rPr>
        <w:t xml:space="preserve">. </w:t>
      </w:r>
    </w:p>
    <w:p w14:paraId="333100C2" w14:textId="77777777" w:rsidR="00307D91" w:rsidRDefault="00307D91" w:rsidP="0048210E"/>
    <w:p w14:paraId="498C72FE" w14:textId="2D5615A8" w:rsidR="00307D91" w:rsidRPr="00307D91" w:rsidRDefault="00307D91" w:rsidP="00307D91">
      <w:pPr>
        <w:rPr>
          <w:i/>
          <w:iCs/>
        </w:rPr>
      </w:pPr>
      <w:r>
        <w:t xml:space="preserve">Sum of the magnitude of errors:         </w:t>
      </w:r>
      <m:oMath>
        <m:nary>
          <m:naryPr>
            <m:chr m:val="∑"/>
            <m:limLoc m:val="undOvr"/>
            <m:subHide m:val="1"/>
            <m:supHide m:val="1"/>
            <m:ctrlPr>
              <w:rPr>
                <w:rFonts w:ascii="Cambria Math" w:eastAsiaTheme="minorEastAsia" w:hAnsi="Cambria Math"/>
                <w:i/>
              </w:rPr>
            </m:ctrlPr>
          </m:naryPr>
          <m:sub/>
          <m:sup/>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r>
                  <w:rPr>
                    <w:rFonts w:ascii="Cambria Math" w:eastAsiaTheme="minorEastAsia" w:hAnsi="Cambria Math"/>
                  </w:rPr>
                  <m:t xml:space="preserve"> – </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R</m:t>
                    </m:r>
                  </m:sub>
                </m:sSub>
              </m:e>
            </m:d>
            <m:r>
              <w:rPr>
                <w:rFonts w:ascii="Cambria Math" w:eastAsiaTheme="minorEastAsia" w:hAnsi="Cambria Math"/>
              </w:rPr>
              <m:t>=39 km</m:t>
            </m:r>
          </m:e>
        </m:nary>
      </m:oMath>
      <w:r>
        <w:rPr>
          <w:rFonts w:eastAsiaTheme="minorEastAsia"/>
        </w:rPr>
        <w:t xml:space="preserve"> </w:t>
      </w:r>
    </w:p>
    <w:p w14:paraId="2C2447D3" w14:textId="77777777" w:rsidR="00307D91" w:rsidRDefault="00307D91" w:rsidP="00307D91">
      <w:pPr>
        <w:rPr>
          <w:i/>
          <w:iCs/>
          <w:u w:val="single"/>
        </w:rPr>
      </w:pPr>
    </w:p>
    <w:p w14:paraId="51967D5F" w14:textId="35D12023" w:rsidR="008A7353" w:rsidRPr="008A7353" w:rsidRDefault="00307D91" w:rsidP="00307D91">
      <w:pPr>
        <w:rPr>
          <w:rFonts w:eastAsiaTheme="minorEastAsia"/>
        </w:rPr>
      </w:pPr>
      <w:r>
        <w:t>Mean deviation of forecast distance from reality</w:t>
      </w:r>
      <w:r w:rsidR="001C61CE">
        <w:t>:</w:t>
      </w:r>
      <w:r>
        <w:t xml:space="preserve"> </w:t>
      </w:r>
      <w:r w:rsidR="001C61CE">
        <w:t xml:space="preserve">   </w:t>
      </w:r>
      <m:oMath>
        <m:f>
          <m:fPr>
            <m:ctrlPr>
              <w:rPr>
                <w:rFonts w:ascii="Cambria Math" w:eastAsiaTheme="minorEastAsia" w:hAnsi="Cambria Math"/>
                <w:i/>
              </w:rPr>
            </m:ctrlPr>
          </m:fPr>
          <m:num>
            <m:nary>
              <m:naryPr>
                <m:chr m:val="∑"/>
                <m:limLoc m:val="undOvr"/>
                <m:subHide m:val="1"/>
                <m:supHide m:val="1"/>
                <m:ctrlPr>
                  <w:rPr>
                    <w:rFonts w:ascii="Cambria Math" w:eastAsiaTheme="minorEastAsia" w:hAnsi="Cambria Math"/>
                    <w:i/>
                  </w:rPr>
                </m:ctrlPr>
              </m:naryPr>
              <m:sub/>
              <m:sup/>
              <m:e>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r>
                      <w:rPr>
                        <w:rFonts w:ascii="Cambria Math" w:eastAsiaTheme="minorEastAsia" w:hAnsi="Cambria Math"/>
                      </w:rPr>
                      <m:t xml:space="preserve"> – </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R</m:t>
                        </m:r>
                      </m:sub>
                    </m:sSub>
                  </m:e>
                </m:d>
              </m:e>
            </m:nary>
          </m:num>
          <m:den>
            <m:r>
              <w:rPr>
                <w:rFonts w:ascii="Cambria Math" w:eastAsiaTheme="minorEastAsia" w:hAnsi="Cambria Math"/>
              </w:rPr>
              <m:t>n</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39 km</m:t>
            </m:r>
          </m:num>
          <m:den>
            <m:r>
              <w:rPr>
                <w:rFonts w:ascii="Cambria Math" w:eastAsiaTheme="minorEastAsia" w:hAnsi="Cambria Math"/>
              </w:rPr>
              <m:t>9</m:t>
            </m:r>
          </m:den>
        </m:f>
        <m:r>
          <w:rPr>
            <w:rFonts w:ascii="Cambria Math" w:eastAsiaTheme="minorEastAsia" w:hAnsi="Cambria Math"/>
          </w:rPr>
          <m:t>=4.3 km</m:t>
        </m:r>
      </m:oMath>
    </w:p>
    <w:p w14:paraId="599879FB" w14:textId="77777777" w:rsidR="00307D91" w:rsidRDefault="00307D91" w:rsidP="0048210E"/>
    <w:p w14:paraId="67D6A8C8" w14:textId="79F597A0" w:rsidR="00A25068" w:rsidRDefault="00222A82" w:rsidP="0048210E">
      <w:r>
        <w:t>This is still not an estimate of the model error, because it only tells us what the predominate distance error is.</w:t>
      </w:r>
    </w:p>
    <w:p w14:paraId="5DC6DC68" w14:textId="77777777" w:rsidR="00222A82" w:rsidRDefault="00222A82" w:rsidP="0048210E"/>
    <w:p w14:paraId="1AFD357D" w14:textId="77777777" w:rsidR="00222A82" w:rsidRDefault="00222A82" w:rsidP="0048210E"/>
    <w:p w14:paraId="2E915D52" w14:textId="2D93AD8F" w:rsidR="007C24D8" w:rsidRDefault="0048210E" w:rsidP="0048210E">
      <w:r>
        <w:t>The standard deviation of th</w:t>
      </w:r>
      <w:r w:rsidR="00A25068">
        <w:t>e</w:t>
      </w:r>
      <w:r>
        <w:t xml:space="preserve"> distribution </w:t>
      </w:r>
      <w:r w:rsidR="00A25068">
        <w:t>of the deviations or errors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r>
          <w:rPr>
            <w:rFonts w:ascii="Cambria Math" w:eastAsiaTheme="minorEastAsia" w:hAnsi="Cambria Math"/>
          </w:rPr>
          <m:t xml:space="preserve"> – </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R</m:t>
            </m:r>
          </m:sub>
        </m:sSub>
      </m:oMath>
      <w:r w:rsidR="00A25068">
        <w:t xml:space="preserve">) </w:t>
      </w:r>
      <w:r>
        <w:t>represents the spread in the forecast ability</w:t>
      </w:r>
      <w:r w:rsidR="009A36F0">
        <w:t xml:space="preserve"> (</w:t>
      </w:r>
      <w:r w:rsidR="00307D91">
        <w:t xml:space="preserve">the spread in differences between forecast and observed </w:t>
      </w:r>
      <w:r w:rsidR="00307D91">
        <w:lastRenderedPageBreak/>
        <w:t>distances travelled</w:t>
      </w:r>
      <w:r w:rsidR="009A36F0">
        <w:t>)</w:t>
      </w:r>
      <w:r w:rsidR="00307D91">
        <w:t xml:space="preserve">. </w:t>
      </w:r>
      <w:r w:rsidR="00A25068">
        <w:t xml:space="preserve">For a gaussian distribution the spread about the mean is characterized as the standard deviation </w:t>
      </w:r>
    </w:p>
    <w:p w14:paraId="752195DA" w14:textId="4CFEE6A1" w:rsidR="009A36F0" w:rsidRDefault="009A36F0" w:rsidP="0048210E">
      <m:oMathPara>
        <m:oMath>
          <m:r>
            <w:rPr>
              <w:rFonts w:ascii="Cambria Math" w:hAnsi="Cambria Math"/>
            </w:rPr>
            <m:t xml:space="preserve">σ= </m:t>
          </m:r>
          <m:rad>
            <m:radPr>
              <m:degHide m:val="1"/>
              <m:ctrlPr>
                <w:rPr>
                  <w:rFonts w:ascii="Cambria Math" w:hAnsi="Cambria Math"/>
                  <w:i/>
                </w:rPr>
              </m:ctrlPr>
            </m:radPr>
            <m:deg/>
            <m:e>
              <m:f>
                <m:fPr>
                  <m:ctrlPr>
                    <w:rPr>
                      <w:rFonts w:ascii="Cambria Math" w:hAnsi="Cambria Math"/>
                      <w:i/>
                    </w:rPr>
                  </m:ctrlPr>
                </m:fPr>
                <m:num>
                  <m:nary>
                    <m:naryPr>
                      <m:chr m:val="∑"/>
                      <m:limLoc m:val="undOvr"/>
                      <m:subHide m:val="1"/>
                      <m:supHide m:val="1"/>
                      <m:ctrlPr>
                        <w:rPr>
                          <w:rFonts w:ascii="Cambria Math" w:eastAsiaTheme="minorEastAsia" w:hAnsi="Cambria Math"/>
                          <w:i/>
                        </w:rPr>
                      </m:ctrlPr>
                    </m:naryPr>
                    <m:sub/>
                    <m:sup/>
                    <m:e>
                      <m:sSup>
                        <m:sSupPr>
                          <m:ctrlPr>
                            <w:rPr>
                              <w:rFonts w:ascii="Cambria Math" w:eastAsiaTheme="minorEastAsia" w:hAnsi="Cambria Math"/>
                              <w:i/>
                            </w:rPr>
                          </m:ctrlPr>
                        </m:sSupPr>
                        <m:e>
                          <m:d>
                            <m:dPr>
                              <m:begChr m:val="["/>
                              <m:endChr m:val="]"/>
                              <m:ctrlPr>
                                <w:rPr>
                                  <w:rFonts w:ascii="Cambria Math" w:eastAsiaTheme="minorEastAsia" w:hAnsi="Cambria Math"/>
                                  <w:i/>
                                </w:rPr>
                              </m:ctrlPr>
                            </m:d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r>
                                    <w:rPr>
                                      <w:rFonts w:ascii="Cambria Math" w:eastAsiaTheme="minorEastAsia" w:hAnsi="Cambria Math"/>
                                    </w:rPr>
                                    <m:t xml:space="preserve"> – </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R</m:t>
                                      </m:r>
                                    </m:sub>
                                  </m:sSub>
                                </m:e>
                              </m:d>
                              <m:r>
                                <w:rPr>
                                  <w:rFonts w:ascii="Cambria Math" w:eastAsiaTheme="minorEastAsia" w:hAnsi="Cambria Math"/>
                                </w:rPr>
                                <m:t>-μ</m:t>
                              </m:r>
                            </m:e>
                          </m:d>
                        </m:e>
                        <m:sup>
                          <m:r>
                            <w:rPr>
                              <w:rFonts w:ascii="Cambria Math" w:eastAsiaTheme="minorEastAsia" w:hAnsi="Cambria Math"/>
                            </w:rPr>
                            <m:t>2</m:t>
                          </m:r>
                        </m:sup>
                      </m:sSup>
                    </m:e>
                  </m:nary>
                </m:num>
                <m:den>
                  <m:r>
                    <w:rPr>
                      <w:rFonts w:ascii="Cambria Math" w:hAnsi="Cambria Math"/>
                    </w:rPr>
                    <m:t>n</m:t>
                  </m:r>
                </m:den>
              </m:f>
            </m:e>
          </m:rad>
        </m:oMath>
      </m:oMathPara>
    </w:p>
    <w:p w14:paraId="7BA1FD99" w14:textId="108ACAA6" w:rsidR="00A25068" w:rsidRDefault="00A25068" w:rsidP="0048210E"/>
    <w:p w14:paraId="378D03B8" w14:textId="2B2FE8D9" w:rsidR="00A25068" w:rsidRDefault="007C24D8" w:rsidP="0048210E">
      <w:r>
        <w:t xml:space="preserve">The standard deviation provides an indication of the spread of the Gaussian curve. The larger </w:t>
      </w:r>
      <w:r w:rsidRPr="007C24D8">
        <w:rPr>
          <w:rFonts w:ascii="Symbol" w:hAnsi="Symbol"/>
        </w:rPr>
        <w:t></w:t>
      </w:r>
      <w:r>
        <w:t xml:space="preserve"> is, the wider the curve is. More accurate forecasts would have smaller standard deviation for the error. </w:t>
      </w:r>
    </w:p>
    <w:p w14:paraId="146F43B2" w14:textId="0565C05D" w:rsidR="00A25068" w:rsidRDefault="00A25068" w:rsidP="0048210E"/>
    <w:p w14:paraId="2B915C72" w14:textId="34F07200" w:rsidR="00A25068" w:rsidRDefault="00A25068" w:rsidP="0048210E">
      <w:r>
        <w:t>It is more instructive</w:t>
      </w:r>
      <w:r w:rsidR="007C24D8">
        <w:t>,</w:t>
      </w:r>
      <w:r>
        <w:t xml:space="preserve"> however</w:t>
      </w:r>
      <w:r w:rsidR="007C24D8">
        <w:t>,</w:t>
      </w:r>
      <w:r>
        <w:t xml:space="preserve"> to think about the spread of the observations about the forecast track.</w:t>
      </w:r>
      <w:r w:rsidR="007C24D8">
        <w:t xml:space="preserve"> Let us look at the two examples considered in the excel spreadsheet, hindcasts for 1 day or for ¼ day. </w:t>
      </w:r>
    </w:p>
    <w:p w14:paraId="07523D06" w14:textId="78FBCC8B" w:rsidR="007C24D8" w:rsidRDefault="007C24D8" w:rsidP="0048210E"/>
    <w:p w14:paraId="6FF167E6" w14:textId="788E333F" w:rsidR="007C24D8" w:rsidRDefault="007C24D8" w:rsidP="0048210E">
      <w:r>
        <w:rPr>
          <w:noProof/>
        </w:rPr>
        <w:drawing>
          <wp:inline distT="0" distB="0" distL="0" distR="0" wp14:anchorId="36EAE1C5" wp14:editId="5272137C">
            <wp:extent cx="2810510" cy="3589866"/>
            <wp:effectExtent l="0" t="0" r="8890" b="17145"/>
            <wp:docPr id="8" name="Chart 8" title="BUOY ID: 300234061872720">
              <a:extLst xmlns:a="http://schemas.openxmlformats.org/drawingml/2006/main">
                <a:ext uri="{FF2B5EF4-FFF2-40B4-BE49-F238E27FC236}">
                  <a16:creationId xmlns:a16="http://schemas.microsoft.com/office/drawing/2014/main" id="{76C12621-2EBF-EA45-85C2-7D6829A5DC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Pr>
          <w:noProof/>
        </w:rPr>
        <w:drawing>
          <wp:inline distT="0" distB="0" distL="0" distR="0" wp14:anchorId="260194AF" wp14:editId="73B6D801">
            <wp:extent cx="2751667" cy="3589655"/>
            <wp:effectExtent l="0" t="0" r="17145" b="17145"/>
            <wp:docPr id="9" name="Chart 9" title="BUOY ID: 300234061872720">
              <a:extLst xmlns:a="http://schemas.openxmlformats.org/drawingml/2006/main">
                <a:ext uri="{FF2B5EF4-FFF2-40B4-BE49-F238E27FC236}">
                  <a16:creationId xmlns:a16="http://schemas.microsoft.com/office/drawing/2014/main" id="{7F041887-1571-514D-A3EB-72058F2AD1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7DB1EEE7" w14:textId="57B30F07" w:rsidR="00A25068" w:rsidRDefault="004B7B37" w:rsidP="0048210E">
      <w:r>
        <w:t>Forecast tracks are in red. The actual trajectory of the buoy is in blue. Note how the 1 day forecast locations have a wider spread about the observed locations than the ¼ day forecast. We quantify this difference between model and observations as the root mean square error.</w:t>
      </w:r>
    </w:p>
    <w:p w14:paraId="1AF61A56" w14:textId="1A14CB15" w:rsidR="00B70248" w:rsidRPr="00B70248" w:rsidRDefault="00B70248" w:rsidP="00B70248">
      <w:pPr>
        <w:rPr>
          <w:rFonts w:ascii="Times New Roman" w:eastAsia="Times New Roman" w:hAnsi="Times New Roman" w:cs="Times New Roman"/>
        </w:rPr>
      </w:pPr>
    </w:p>
    <w:p w14:paraId="0C79B6A5" w14:textId="1D49FE17" w:rsidR="00307D91" w:rsidRDefault="00307D91" w:rsidP="0048210E">
      <w:r>
        <w:t>Th</w:t>
      </w:r>
      <w:r w:rsidR="00A25068">
        <w:t xml:space="preserve">e Model Error, or </w:t>
      </w:r>
      <w:r w:rsidR="00D95EFD">
        <w:t xml:space="preserve">root </w:t>
      </w:r>
      <w:r w:rsidR="00B70248">
        <w:t>mean square error</w:t>
      </w:r>
      <w:r w:rsidR="00A25068">
        <w:t>,</w:t>
      </w:r>
      <w:r>
        <w:t xml:space="preserve"> is similar to the standard deviation</w:t>
      </w:r>
      <w:r w:rsidR="00B70248">
        <w:t xml:space="preserve"> of the errors</w:t>
      </w:r>
      <w:r>
        <w:t xml:space="preserve">, but is not identical to it. </w:t>
      </w:r>
    </w:p>
    <w:p w14:paraId="51701DF4" w14:textId="483466EB" w:rsidR="00F734A8" w:rsidRDefault="00F734A8" w:rsidP="0048210E"/>
    <w:p w14:paraId="527AB3E1" w14:textId="1576012C" w:rsidR="00DA42DF" w:rsidRDefault="00222A82" w:rsidP="00DA42DF">
      <w:r>
        <w:t xml:space="preserve">Model Error is </w:t>
      </w:r>
      <w:r>
        <w:rPr>
          <w:rFonts w:eastAsiaTheme="minorEastAsia"/>
        </w:rPr>
        <w:t xml:space="preserve"> </w:t>
      </w:r>
      <m:oMath>
        <m:rad>
          <m:radPr>
            <m:degHide m:val="1"/>
            <m:ctrlPr>
              <w:rPr>
                <w:rFonts w:ascii="Cambria Math" w:hAnsi="Cambria Math"/>
                <w:i/>
              </w:rPr>
            </m:ctrlPr>
          </m:radPr>
          <m:deg/>
          <m:e>
            <m:f>
              <m:fPr>
                <m:ctrlPr>
                  <w:rPr>
                    <w:rFonts w:ascii="Cambria Math" w:hAnsi="Cambria Math"/>
                    <w:i/>
                  </w:rPr>
                </m:ctrlPr>
              </m:fPr>
              <m:num>
                <m:nary>
                  <m:naryPr>
                    <m:chr m:val="∑"/>
                    <m:limLoc m:val="undOvr"/>
                    <m:subHide m:val="1"/>
                    <m:supHide m:val="1"/>
                    <m:ctrlPr>
                      <w:rPr>
                        <w:rFonts w:ascii="Cambria Math" w:eastAsiaTheme="minorEastAsia" w:hAnsi="Cambria Math"/>
                        <w:i/>
                      </w:rPr>
                    </m:ctrlPr>
                  </m:naryPr>
                  <m:sub/>
                  <m:sup/>
                  <m:e>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F</m:t>
                                </m:r>
                              </m:sub>
                            </m:sSub>
                            <m:r>
                              <w:rPr>
                                <w:rFonts w:ascii="Cambria Math" w:eastAsiaTheme="minorEastAsia" w:hAnsi="Cambria Math"/>
                              </w:rPr>
                              <m:t xml:space="preserve"> – </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R</m:t>
                                </m:r>
                              </m:sub>
                            </m:sSub>
                          </m:e>
                        </m:d>
                      </m:e>
                      <m:sup>
                        <m:r>
                          <w:rPr>
                            <w:rFonts w:ascii="Cambria Math" w:eastAsiaTheme="minorEastAsia" w:hAnsi="Cambria Math"/>
                          </w:rPr>
                          <m:t>2</m:t>
                        </m:r>
                      </m:sup>
                    </m:sSup>
                  </m:e>
                </m:nary>
              </m:num>
              <m:den>
                <m:r>
                  <w:rPr>
                    <w:rFonts w:ascii="Cambria Math" w:hAnsi="Cambria Math"/>
                  </w:rPr>
                  <m:t>n</m:t>
                </m:r>
              </m:den>
            </m:f>
            <m:r>
              <w:rPr>
                <w:rFonts w:ascii="Cambria Math" w:hAnsi="Cambria Math"/>
              </w:rPr>
              <m:t>=2 km</m:t>
            </m:r>
          </m:e>
        </m:rad>
      </m:oMath>
    </w:p>
    <w:p w14:paraId="433B5109" w14:textId="1B5B7A51" w:rsidR="0048210E" w:rsidRPr="00CC5F09" w:rsidRDefault="00CC5F09" w:rsidP="0048210E">
      <w:pPr>
        <w:rPr>
          <w:rFonts w:eastAsiaTheme="minorEastAsia"/>
        </w:rPr>
      </w:pPr>
      <w:r>
        <w:rPr>
          <w:rFonts w:eastAsiaTheme="minorEastAsia"/>
        </w:rPr>
        <w:lastRenderedPageBreak/>
        <w:t>O</w:t>
      </w:r>
      <w:r w:rsidR="0048210E">
        <w:t xml:space="preserve">ne hopes that the </w:t>
      </w:r>
      <w:r w:rsidR="00A25068">
        <w:t>model</w:t>
      </w:r>
      <w:r w:rsidR="0048210E">
        <w:t xml:space="preserve"> error</w:t>
      </w:r>
      <w:r w:rsidR="0017490C">
        <w:t xml:space="preserve"> </w:t>
      </w:r>
      <w:r w:rsidR="00E025C2">
        <w:t>plus</w:t>
      </w:r>
      <w:r w:rsidR="00A25068">
        <w:t xml:space="preserve"> model bias</w:t>
      </w:r>
      <w:r w:rsidR="0048210E">
        <w:t xml:space="preserve"> is smaller than the required forecast accuracy</w:t>
      </w:r>
      <w:r w:rsidR="0017490C">
        <w:t xml:space="preserve">. </w:t>
      </w:r>
      <w:r w:rsidR="00A25068">
        <w:t xml:space="preserve">If not, we need to consider our model as not fit for </w:t>
      </w:r>
      <w:r w:rsidR="00B70248">
        <w:t>its</w:t>
      </w:r>
      <w:r w:rsidR="00A25068">
        <w:t xml:space="preserve"> purpose. In the example of a search and rescue we are limited by the flight time of a helicopter and can only survey a region with radius 10km in one flight. Hence if </w:t>
      </w:r>
      <m:oMath>
        <m:r>
          <w:rPr>
            <w:rFonts w:ascii="Cambria Math" w:hAnsi="Cambria Math"/>
          </w:rPr>
          <m:t>model error + model bias &gt; 10km</m:t>
        </m:r>
      </m:oMath>
      <w:r w:rsidR="00A25068">
        <w:t xml:space="preserve">, </w:t>
      </w:r>
      <w:r w:rsidR="00222A82">
        <w:t xml:space="preserve">one might argue </w:t>
      </w:r>
      <w:r w:rsidR="00A25068">
        <w:t xml:space="preserve">the model is not fit to be used to predict the search location for the flights. </w:t>
      </w:r>
    </w:p>
    <w:p w14:paraId="0A749937" w14:textId="362682DC" w:rsidR="00E025C2" w:rsidRPr="00C94679" w:rsidRDefault="00E025C2" w:rsidP="0048210E">
      <w:pPr>
        <w:rPr>
          <w:rFonts w:ascii="Cambria Math" w:hAnsi="Cambria Math"/>
          <w:oMath/>
        </w:rPr>
      </w:pPr>
    </w:p>
    <w:p w14:paraId="7E770E61" w14:textId="30F168A5" w:rsidR="00E025C2" w:rsidRPr="00C94679" w:rsidRDefault="00C94679" w:rsidP="0048210E">
      <w:pPr>
        <w:rPr>
          <w:rFonts w:ascii="Cambria Math" w:hAnsi="Cambria Math"/>
          <w:oMath/>
        </w:rPr>
      </w:pPr>
      <m:oMathPara>
        <m:oMath>
          <m:r>
            <w:rPr>
              <w:rFonts w:ascii="Cambria Math" w:hAnsi="Cambria Math"/>
            </w:rPr>
            <m:t>Model Error = 2 km</m:t>
          </m:r>
        </m:oMath>
      </m:oMathPara>
    </w:p>
    <w:p w14:paraId="256DA740" w14:textId="4AED39B7" w:rsidR="00E025C2" w:rsidRPr="00C94679" w:rsidRDefault="00C94679" w:rsidP="0048210E">
      <w:pPr>
        <w:rPr>
          <w:rFonts w:ascii="Cambria Math" w:hAnsi="Cambria Math"/>
          <w:oMath/>
        </w:rPr>
      </w:pPr>
      <m:oMathPara>
        <m:oMath>
          <m:r>
            <w:rPr>
              <w:rFonts w:ascii="Cambria Math" w:hAnsi="Cambria Math"/>
            </w:rPr>
            <m:t>Model Bias = -1.2 km</m:t>
          </m:r>
        </m:oMath>
      </m:oMathPara>
    </w:p>
    <w:p w14:paraId="1E176854" w14:textId="030A1BE3" w:rsidR="00E025C2" w:rsidRDefault="00E025C2" w:rsidP="0048210E"/>
    <w:p w14:paraId="35DC7DE0" w14:textId="733E55E5" w:rsidR="00E025C2" w:rsidRDefault="00E025C2" w:rsidP="0048210E">
      <w:r>
        <w:t>Search radius t</w:t>
      </w:r>
      <w:r w:rsidR="004B7B37">
        <w:t>o</w:t>
      </w:r>
      <w:r>
        <w:t xml:space="preserve"> find the drifter</w:t>
      </w:r>
      <w:r w:rsidR="004B7B37">
        <w:t>, with success</w:t>
      </w:r>
      <w:r>
        <w:t xml:space="preserve"> 68.2% of the time is </w:t>
      </w:r>
      <m:oMath>
        <m:r>
          <w:rPr>
            <w:rFonts w:ascii="Cambria Math" w:hAnsi="Cambria Math"/>
          </w:rPr>
          <m:t>2 + 1.2 = 3.2 km</m:t>
        </m:r>
      </m:oMath>
      <w:r>
        <w:t xml:space="preserve"> </w:t>
      </w:r>
    </w:p>
    <w:p w14:paraId="49533B4D" w14:textId="601035CC" w:rsidR="004B7B37" w:rsidRDefault="004B7B37" w:rsidP="004B7B37">
      <w:r>
        <w:t xml:space="preserve">Search radius to find the drifter, with success 95.5% of the time is </w:t>
      </w:r>
      <m:oMath>
        <m:r>
          <w:rPr>
            <w:rFonts w:ascii="Cambria Math" w:hAnsi="Cambria Math"/>
          </w:rPr>
          <m:t>2</m:t>
        </m:r>
        <m:r>
          <w:rPr>
            <w:rFonts w:ascii="Cambria Math" w:hAnsi="Cambria Math"/>
          </w:rPr>
          <m:t>σ</m:t>
        </m:r>
        <m:r>
          <w:rPr>
            <w:rFonts w:ascii="Cambria Math" w:hAnsi="Cambria Math"/>
          </w:rPr>
          <m:t xml:space="preserve"> + |</m:t>
        </m:r>
        <m:r>
          <w:rPr>
            <w:rFonts w:ascii="Cambria Math" w:hAnsi="Cambria Math"/>
          </w:rPr>
          <m:t>μ</m:t>
        </m:r>
        <m:r>
          <w:rPr>
            <w:rFonts w:ascii="Cambria Math" w:hAnsi="Cambria Math"/>
          </w:rPr>
          <m:t>| = 5.2 km</m:t>
        </m:r>
      </m:oMath>
      <w:r>
        <w:t xml:space="preserve"> </w:t>
      </w:r>
    </w:p>
    <w:p w14:paraId="5DF83250" w14:textId="77777777" w:rsidR="00C94679" w:rsidRDefault="00C94679" w:rsidP="0048210E"/>
    <w:p w14:paraId="0ABD33DF" w14:textId="68ECC2C0" w:rsidR="00E025C2" w:rsidRDefault="00E025C2" w:rsidP="0048210E">
      <w:r>
        <w:t>Note that we took the absolute value of the model bias, because this is an offset in the search pattern, so the distance must be added to the model error</w:t>
      </w:r>
      <w:r w:rsidR="00A857A6">
        <w:t xml:space="preserve"> if we are not sure of the direction of the bias</w:t>
      </w:r>
      <w:r>
        <w:t xml:space="preserve">. </w:t>
      </w:r>
    </w:p>
    <w:p w14:paraId="45ED6DD0" w14:textId="409A9FFA" w:rsidR="00E025C2" w:rsidRDefault="00E025C2" w:rsidP="0048210E"/>
    <w:p w14:paraId="06F80461" w14:textId="03777C9E" w:rsidR="00E025C2" w:rsidRPr="003F39D9" w:rsidRDefault="00E025C2" w:rsidP="0048210E">
      <w:r>
        <w:t>The one</w:t>
      </w:r>
      <w:r w:rsidR="0050129A">
        <w:t>-</w:t>
      </w:r>
      <w:bookmarkStart w:id="0" w:name="_GoBack"/>
      <w:bookmarkEnd w:id="0"/>
      <w:r>
        <w:t xml:space="preserve">day persistence forecast is fit for the purpose of </w:t>
      </w:r>
      <w:r w:rsidR="007C24D8">
        <w:t xml:space="preserve">the </w:t>
      </w:r>
      <w:r>
        <w:t>search and re</w:t>
      </w:r>
      <w:r w:rsidR="007C24D8">
        <w:t>covery of the dead buoy</w:t>
      </w:r>
      <w:r w:rsidR="004B7B37">
        <w:t>, with a search radius of 5km if a 95% success rate is acceptable.</w:t>
      </w:r>
    </w:p>
    <w:sectPr w:rsidR="00E025C2" w:rsidRPr="003F39D9" w:rsidSect="007B37E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79B580D"/>
    <w:multiLevelType w:val="hybridMultilevel"/>
    <w:tmpl w:val="87AC4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BE2304F"/>
    <w:multiLevelType w:val="hybridMultilevel"/>
    <w:tmpl w:val="1070E7E0"/>
    <w:lvl w:ilvl="0" w:tplc="784A437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ED558E8"/>
    <w:multiLevelType w:val="hybridMultilevel"/>
    <w:tmpl w:val="F0020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34C22F6"/>
    <w:multiLevelType w:val="hybridMultilevel"/>
    <w:tmpl w:val="FC90B028"/>
    <w:lvl w:ilvl="0" w:tplc="B68A801A">
      <w:start w:val="1"/>
      <w:numFmt w:val="bullet"/>
      <w:lvlText w:val="-"/>
      <w:lvlJc w:val="left"/>
      <w:pPr>
        <w:ind w:left="580" w:hanging="360"/>
      </w:pPr>
      <w:rPr>
        <w:rFonts w:ascii="Calibri" w:eastAsiaTheme="minorHAnsi" w:hAnsi="Calibri" w:cs="Calibri" w:hint="default"/>
      </w:rPr>
    </w:lvl>
    <w:lvl w:ilvl="1" w:tplc="04090003" w:tentative="1">
      <w:start w:val="1"/>
      <w:numFmt w:val="bullet"/>
      <w:lvlText w:val="o"/>
      <w:lvlJc w:val="left"/>
      <w:pPr>
        <w:ind w:left="1300" w:hanging="360"/>
      </w:pPr>
      <w:rPr>
        <w:rFonts w:ascii="Courier New" w:hAnsi="Courier New" w:cs="Courier New" w:hint="default"/>
      </w:rPr>
    </w:lvl>
    <w:lvl w:ilvl="2" w:tplc="04090005" w:tentative="1">
      <w:start w:val="1"/>
      <w:numFmt w:val="bullet"/>
      <w:lvlText w:val=""/>
      <w:lvlJc w:val="left"/>
      <w:pPr>
        <w:ind w:left="2020" w:hanging="360"/>
      </w:pPr>
      <w:rPr>
        <w:rFonts w:ascii="Wingdings" w:hAnsi="Wingdings" w:hint="default"/>
      </w:rPr>
    </w:lvl>
    <w:lvl w:ilvl="3" w:tplc="04090001" w:tentative="1">
      <w:start w:val="1"/>
      <w:numFmt w:val="bullet"/>
      <w:lvlText w:val=""/>
      <w:lvlJc w:val="left"/>
      <w:pPr>
        <w:ind w:left="2740" w:hanging="360"/>
      </w:pPr>
      <w:rPr>
        <w:rFonts w:ascii="Symbol" w:hAnsi="Symbol" w:hint="default"/>
      </w:rPr>
    </w:lvl>
    <w:lvl w:ilvl="4" w:tplc="04090003" w:tentative="1">
      <w:start w:val="1"/>
      <w:numFmt w:val="bullet"/>
      <w:lvlText w:val="o"/>
      <w:lvlJc w:val="left"/>
      <w:pPr>
        <w:ind w:left="3460" w:hanging="360"/>
      </w:pPr>
      <w:rPr>
        <w:rFonts w:ascii="Courier New" w:hAnsi="Courier New" w:cs="Courier New" w:hint="default"/>
      </w:rPr>
    </w:lvl>
    <w:lvl w:ilvl="5" w:tplc="04090005" w:tentative="1">
      <w:start w:val="1"/>
      <w:numFmt w:val="bullet"/>
      <w:lvlText w:val=""/>
      <w:lvlJc w:val="left"/>
      <w:pPr>
        <w:ind w:left="4180" w:hanging="360"/>
      </w:pPr>
      <w:rPr>
        <w:rFonts w:ascii="Wingdings" w:hAnsi="Wingdings" w:hint="default"/>
      </w:rPr>
    </w:lvl>
    <w:lvl w:ilvl="6" w:tplc="04090001" w:tentative="1">
      <w:start w:val="1"/>
      <w:numFmt w:val="bullet"/>
      <w:lvlText w:val=""/>
      <w:lvlJc w:val="left"/>
      <w:pPr>
        <w:ind w:left="4900" w:hanging="360"/>
      </w:pPr>
      <w:rPr>
        <w:rFonts w:ascii="Symbol" w:hAnsi="Symbol" w:hint="default"/>
      </w:rPr>
    </w:lvl>
    <w:lvl w:ilvl="7" w:tplc="04090003" w:tentative="1">
      <w:start w:val="1"/>
      <w:numFmt w:val="bullet"/>
      <w:lvlText w:val="o"/>
      <w:lvlJc w:val="left"/>
      <w:pPr>
        <w:ind w:left="5620" w:hanging="360"/>
      </w:pPr>
      <w:rPr>
        <w:rFonts w:ascii="Courier New" w:hAnsi="Courier New" w:cs="Courier New" w:hint="default"/>
      </w:rPr>
    </w:lvl>
    <w:lvl w:ilvl="8" w:tplc="04090005" w:tentative="1">
      <w:start w:val="1"/>
      <w:numFmt w:val="bullet"/>
      <w:lvlText w:val=""/>
      <w:lvlJc w:val="left"/>
      <w:pPr>
        <w:ind w:left="6340" w:hanging="360"/>
      </w:pPr>
      <w:rPr>
        <w:rFonts w:ascii="Wingdings" w:hAnsi="Wingdings" w:hint="default"/>
      </w:rPr>
    </w:lvl>
  </w:abstractNum>
  <w:abstractNum w:abstractNumId="4" w15:restartNumberingAfterBreak="0">
    <w:nsid w:val="70FF2ED8"/>
    <w:multiLevelType w:val="hybridMultilevel"/>
    <w:tmpl w:val="F0FA4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4"/>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8"/>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39D9"/>
    <w:rsid w:val="00007FC3"/>
    <w:rsid w:val="0017490C"/>
    <w:rsid w:val="00182ADD"/>
    <w:rsid w:val="00190D06"/>
    <w:rsid w:val="001C61CE"/>
    <w:rsid w:val="00222A82"/>
    <w:rsid w:val="00262617"/>
    <w:rsid w:val="00307D91"/>
    <w:rsid w:val="00321AFB"/>
    <w:rsid w:val="003475C1"/>
    <w:rsid w:val="00366CBE"/>
    <w:rsid w:val="003A5776"/>
    <w:rsid w:val="003F39D9"/>
    <w:rsid w:val="0048210E"/>
    <w:rsid w:val="004B7B37"/>
    <w:rsid w:val="0050129A"/>
    <w:rsid w:val="00695E3E"/>
    <w:rsid w:val="006F3698"/>
    <w:rsid w:val="00752629"/>
    <w:rsid w:val="007B37EB"/>
    <w:rsid w:val="007C24D8"/>
    <w:rsid w:val="008A7353"/>
    <w:rsid w:val="00976F46"/>
    <w:rsid w:val="009A36F0"/>
    <w:rsid w:val="00A25068"/>
    <w:rsid w:val="00A61A98"/>
    <w:rsid w:val="00A857A6"/>
    <w:rsid w:val="00B70248"/>
    <w:rsid w:val="00C455BF"/>
    <w:rsid w:val="00C94679"/>
    <w:rsid w:val="00CC5F09"/>
    <w:rsid w:val="00CF63B4"/>
    <w:rsid w:val="00D26838"/>
    <w:rsid w:val="00D95EFD"/>
    <w:rsid w:val="00DA42DF"/>
    <w:rsid w:val="00DC1FA7"/>
    <w:rsid w:val="00E025C2"/>
    <w:rsid w:val="00E31DE5"/>
    <w:rsid w:val="00EC031A"/>
    <w:rsid w:val="00F734A8"/>
    <w:rsid w:val="00F939E7"/>
    <w:rsid w:val="00FC450B"/>
    <w:rsid w:val="00FE23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C183F"/>
  <w15:chartTrackingRefBased/>
  <w15:docId w15:val="{4C13A1D7-4E4A-F643-A041-29C1E427C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39D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3F39D9"/>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3F39D9"/>
    <w:rPr>
      <w:rFonts w:ascii="Times New Roman" w:hAnsi="Times New Roman" w:cs="Times New Roman"/>
      <w:sz w:val="18"/>
      <w:szCs w:val="18"/>
    </w:rPr>
  </w:style>
  <w:style w:type="paragraph" w:styleId="ListParagraph">
    <w:name w:val="List Paragraph"/>
    <w:basedOn w:val="Normal"/>
    <w:uiPriority w:val="34"/>
    <w:qFormat/>
    <w:rsid w:val="003F39D9"/>
    <w:pPr>
      <w:ind w:left="720"/>
      <w:contextualSpacing/>
    </w:pPr>
  </w:style>
  <w:style w:type="character" w:styleId="PlaceholderText">
    <w:name w:val="Placeholder Text"/>
    <w:basedOn w:val="DefaultParagraphFont"/>
    <w:uiPriority w:val="99"/>
    <w:semiHidden/>
    <w:rsid w:val="009A36F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7823306">
      <w:bodyDiv w:val="1"/>
      <w:marLeft w:val="0"/>
      <w:marRight w:val="0"/>
      <w:marTop w:val="0"/>
      <w:marBottom w:val="0"/>
      <w:divBdr>
        <w:top w:val="none" w:sz="0" w:space="0" w:color="auto"/>
        <w:left w:val="none" w:sz="0" w:space="0" w:color="auto"/>
        <w:bottom w:val="none" w:sz="0" w:space="0" w:color="auto"/>
        <w:right w:val="none" w:sz="0" w:space="0" w:color="auto"/>
      </w:divBdr>
    </w:div>
    <w:div w:id="1177427087">
      <w:bodyDiv w:val="1"/>
      <w:marLeft w:val="0"/>
      <w:marRight w:val="0"/>
      <w:marTop w:val="0"/>
      <w:marBottom w:val="0"/>
      <w:divBdr>
        <w:top w:val="none" w:sz="0" w:space="0" w:color="auto"/>
        <w:left w:val="none" w:sz="0" w:space="0" w:color="auto"/>
        <w:bottom w:val="none" w:sz="0" w:space="0" w:color="auto"/>
        <w:right w:val="none" w:sz="0" w:space="0" w:color="auto"/>
      </w:divBdr>
    </w:div>
    <w:div w:id="1238588541">
      <w:bodyDiv w:val="1"/>
      <w:marLeft w:val="0"/>
      <w:marRight w:val="0"/>
      <w:marTop w:val="0"/>
      <w:marBottom w:val="0"/>
      <w:divBdr>
        <w:top w:val="none" w:sz="0" w:space="0" w:color="auto"/>
        <w:left w:val="none" w:sz="0" w:space="0" w:color="auto"/>
        <w:bottom w:val="none" w:sz="0" w:space="0" w:color="auto"/>
        <w:right w:val="none" w:sz="0" w:space="0" w:color="auto"/>
      </w:divBdr>
    </w:div>
    <w:div w:id="1822884348">
      <w:bodyDiv w:val="1"/>
      <w:marLeft w:val="0"/>
      <w:marRight w:val="0"/>
      <w:marTop w:val="0"/>
      <w:marBottom w:val="0"/>
      <w:divBdr>
        <w:top w:val="none" w:sz="0" w:space="0" w:color="auto"/>
        <w:left w:val="none" w:sz="0" w:space="0" w:color="auto"/>
        <w:bottom w:val="none" w:sz="0" w:space="0" w:color="auto"/>
        <w:right w:val="none" w:sz="0" w:space="0" w:color="auto"/>
      </w:divBdr>
    </w:div>
    <w:div w:id="2054189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3" Type="http://schemas.openxmlformats.org/officeDocument/2006/relationships/settings" Target="settings.xml"/><Relationship Id="rId7" Type="http://schemas.openxmlformats.org/officeDocument/2006/relationships/image" Target="media/image3.tif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tiff"/><Relationship Id="rId11" Type="http://schemas.openxmlformats.org/officeDocument/2006/relationships/fontTable" Target="fontTable.xml"/><Relationship Id="rId5" Type="http://schemas.openxmlformats.org/officeDocument/2006/relationships/image" Target="media/image1.tiff"/><Relationship Id="rId10" Type="http://schemas.openxmlformats.org/officeDocument/2006/relationships/chart" Target="charts/chart2.xml"/><Relationship Id="rId4" Type="http://schemas.openxmlformats.org/officeDocument/2006/relationships/webSettings" Target="webSettings.xml"/><Relationship Id="rId9" Type="http://schemas.openxmlformats.org/officeDocument/2006/relationships/chart" Target="charts/chart1.xml"/></Relationships>
</file>

<file path=word/charts/_rels/chart1.xml.rels><?xml version="1.0" encoding="UTF-8" standalone="yes"?>
<Relationships xmlns="http://schemas.openxmlformats.org/package/2006/relationships"><Relationship Id="rId3" Type="http://schemas.openxmlformats.org/officeDocument/2006/relationships/oleObject" Target="file:////Users/jenny/SMILE/HighSchools_version4/resources/3.4_EstimatingErrors_solution_v2.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Users/jenny/SMILE/HighSchools_version4/resources/3.4_EstimatingErrors_solution_v2.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BUOY ID: 300234061872720 (1 day forecast)</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3"/>
          <c:order val="0"/>
          <c:tx>
            <c:v>IABP</c:v>
          </c:tx>
          <c:spPr>
            <a:ln w="50800" cap="rnd">
              <a:solidFill>
                <a:schemeClr val="accent1">
                  <a:alpha val="35000"/>
                </a:schemeClr>
              </a:solidFill>
              <a:round/>
            </a:ln>
            <a:effectLst/>
          </c:spPr>
          <c:marker>
            <c:symbol val="circle"/>
            <c:size val="5"/>
            <c:spPr>
              <a:noFill/>
              <a:ln w="9525">
                <a:noFill/>
              </a:ln>
              <a:effectLst/>
            </c:spPr>
          </c:marker>
          <c:xVal>
            <c:numRef>
              <c:f>Sheet1!$C$26:$C$104</c:f>
              <c:numCache>
                <c:formatCode>General</c:formatCode>
                <c:ptCount val="79"/>
                <c:pt idx="0">
                  <c:v>150.0076</c:v>
                </c:pt>
                <c:pt idx="1">
                  <c:v>149.9838</c:v>
                </c:pt>
                <c:pt idx="2">
                  <c:v>149.92699999999999</c:v>
                </c:pt>
                <c:pt idx="3">
                  <c:v>149.8698</c:v>
                </c:pt>
                <c:pt idx="4">
                  <c:v>149.8064</c:v>
                </c:pt>
                <c:pt idx="5">
                  <c:v>149.77340000000001</c:v>
                </c:pt>
                <c:pt idx="6">
                  <c:v>149.744</c:v>
                </c:pt>
                <c:pt idx="7">
                  <c:v>149.73480000000001</c:v>
                </c:pt>
                <c:pt idx="8">
                  <c:v>149.7012</c:v>
                </c:pt>
                <c:pt idx="9">
                  <c:v>149.70959999999999</c:v>
                </c:pt>
                <c:pt idx="10">
                  <c:v>149.65860000000001</c:v>
                </c:pt>
                <c:pt idx="11">
                  <c:v>149.6208</c:v>
                </c:pt>
                <c:pt idx="12">
                  <c:v>149.54740000000001</c:v>
                </c:pt>
                <c:pt idx="13">
                  <c:v>149.46639999999999</c:v>
                </c:pt>
                <c:pt idx="14">
                  <c:v>149.363</c:v>
                </c:pt>
                <c:pt idx="15">
                  <c:v>149.2662</c:v>
                </c:pt>
                <c:pt idx="16">
                  <c:v>149.15620000000001</c:v>
                </c:pt>
                <c:pt idx="17">
                  <c:v>149.04159999999999</c:v>
                </c:pt>
                <c:pt idx="18">
                  <c:v>148.91839999999999</c:v>
                </c:pt>
                <c:pt idx="19">
                  <c:v>148.8066</c:v>
                </c:pt>
                <c:pt idx="20">
                  <c:v>148.68539999999999</c:v>
                </c:pt>
                <c:pt idx="21">
                  <c:v>148.53980000000001</c:v>
                </c:pt>
                <c:pt idx="22">
                  <c:v>148.2724</c:v>
                </c:pt>
                <c:pt idx="23">
                  <c:v>147.8946</c:v>
                </c:pt>
                <c:pt idx="24">
                  <c:v>147.46279999999999</c:v>
                </c:pt>
                <c:pt idx="25">
                  <c:v>146.9828</c:v>
                </c:pt>
                <c:pt idx="26">
                  <c:v>146.49940000000001</c:v>
                </c:pt>
                <c:pt idx="27">
                  <c:v>146.0112</c:v>
                </c:pt>
                <c:pt idx="28">
                  <c:v>145.61199999999999</c:v>
                </c:pt>
                <c:pt idx="29">
                  <c:v>145.32400000000001</c:v>
                </c:pt>
                <c:pt idx="30">
                  <c:v>145.18940000000001</c:v>
                </c:pt>
                <c:pt idx="31">
                  <c:v>145.15940000000001</c:v>
                </c:pt>
                <c:pt idx="32">
                  <c:v>145.24019999999999</c:v>
                </c:pt>
                <c:pt idx="33">
                  <c:v>145.3434</c:v>
                </c:pt>
                <c:pt idx="34">
                  <c:v>145.50559999999999</c:v>
                </c:pt>
                <c:pt idx="35">
                  <c:v>145.65199999999999</c:v>
                </c:pt>
                <c:pt idx="36">
                  <c:v>145.80520000000001</c:v>
                </c:pt>
                <c:pt idx="37">
                  <c:v>145.922</c:v>
                </c:pt>
                <c:pt idx="38">
                  <c:v>146.1044</c:v>
                </c:pt>
                <c:pt idx="39">
                  <c:v>146.23699999999999</c:v>
                </c:pt>
                <c:pt idx="40">
                  <c:v>146.22980000000001</c:v>
                </c:pt>
                <c:pt idx="41">
                  <c:v>146.06479999999999</c:v>
                </c:pt>
                <c:pt idx="42">
                  <c:v>145.9342</c:v>
                </c:pt>
                <c:pt idx="43">
                  <c:v>145.65960000000001</c:v>
                </c:pt>
                <c:pt idx="44">
                  <c:v>145.3776</c:v>
                </c:pt>
                <c:pt idx="45">
                  <c:v>145.529</c:v>
                </c:pt>
                <c:pt idx="46">
                  <c:v>145.898</c:v>
                </c:pt>
                <c:pt idx="47">
                  <c:v>146.14279999999999</c:v>
                </c:pt>
                <c:pt idx="48">
                  <c:v>146.39599999999999</c:v>
                </c:pt>
                <c:pt idx="49">
                  <c:v>146.637</c:v>
                </c:pt>
                <c:pt idx="50">
                  <c:v>146.9564</c:v>
                </c:pt>
                <c:pt idx="51">
                  <c:v>147.04320000000001</c:v>
                </c:pt>
                <c:pt idx="52">
                  <c:v>147.1172</c:v>
                </c:pt>
                <c:pt idx="53">
                  <c:v>147.096</c:v>
                </c:pt>
                <c:pt idx="54">
                  <c:v>147.02000000000001</c:v>
                </c:pt>
                <c:pt idx="55">
                  <c:v>147.11099999999999</c:v>
                </c:pt>
                <c:pt idx="56">
                  <c:v>147.2328</c:v>
                </c:pt>
                <c:pt idx="57">
                  <c:v>147.31139999999999</c:v>
                </c:pt>
                <c:pt idx="58">
                  <c:v>147.3244</c:v>
                </c:pt>
                <c:pt idx="59">
                  <c:v>147.34540000000001</c:v>
                </c:pt>
                <c:pt idx="60">
                  <c:v>147.279</c:v>
                </c:pt>
                <c:pt idx="61">
                  <c:v>147.17619999999999</c:v>
                </c:pt>
                <c:pt idx="62">
                  <c:v>146.99879999999999</c:v>
                </c:pt>
                <c:pt idx="63">
                  <c:v>146.76140000000001</c:v>
                </c:pt>
                <c:pt idx="64">
                  <c:v>146.52500000000001</c:v>
                </c:pt>
                <c:pt idx="65">
                  <c:v>146.46</c:v>
                </c:pt>
                <c:pt idx="66">
                  <c:v>146.3974</c:v>
                </c:pt>
                <c:pt idx="67">
                  <c:v>146.27279999999999</c:v>
                </c:pt>
                <c:pt idx="68">
                  <c:v>146.13640000000001</c:v>
                </c:pt>
                <c:pt idx="69">
                  <c:v>146.0462</c:v>
                </c:pt>
                <c:pt idx="70">
                  <c:v>145.99539999999999</c:v>
                </c:pt>
                <c:pt idx="71">
                  <c:v>145.90819999999999</c:v>
                </c:pt>
                <c:pt idx="72">
                  <c:v>145.7782</c:v>
                </c:pt>
                <c:pt idx="73">
                  <c:v>145.5728</c:v>
                </c:pt>
                <c:pt idx="74">
                  <c:v>145.29560000000001</c:v>
                </c:pt>
                <c:pt idx="75">
                  <c:v>145.0224</c:v>
                </c:pt>
                <c:pt idx="76">
                  <c:v>144.77199999999999</c:v>
                </c:pt>
                <c:pt idx="77">
                  <c:v>144.61539999999999</c:v>
                </c:pt>
                <c:pt idx="78">
                  <c:v>144.5316</c:v>
                </c:pt>
              </c:numCache>
            </c:numRef>
          </c:xVal>
          <c:yVal>
            <c:numRef>
              <c:f>Sheet1!$B$26:$B$104</c:f>
              <c:numCache>
                <c:formatCode>General</c:formatCode>
                <c:ptCount val="79"/>
                <c:pt idx="0">
                  <c:v>85.601799999999997</c:v>
                </c:pt>
                <c:pt idx="1">
                  <c:v>85.614599999999996</c:v>
                </c:pt>
                <c:pt idx="2">
                  <c:v>85.624799999999993</c:v>
                </c:pt>
                <c:pt idx="3">
                  <c:v>85.637200000000007</c:v>
                </c:pt>
                <c:pt idx="4">
                  <c:v>85.6494</c:v>
                </c:pt>
                <c:pt idx="5">
                  <c:v>85.663799999999995</c:v>
                </c:pt>
                <c:pt idx="6">
                  <c:v>85.676599999999993</c:v>
                </c:pt>
                <c:pt idx="7">
                  <c:v>85.69</c:v>
                </c:pt>
                <c:pt idx="8">
                  <c:v>85.700599999999994</c:v>
                </c:pt>
                <c:pt idx="9">
                  <c:v>85.714600000000004</c:v>
                </c:pt>
                <c:pt idx="10">
                  <c:v>85.723600000000005</c:v>
                </c:pt>
                <c:pt idx="11">
                  <c:v>85.735200000000006</c:v>
                </c:pt>
                <c:pt idx="12">
                  <c:v>85.743799999999993</c:v>
                </c:pt>
                <c:pt idx="13">
                  <c:v>85.757800000000003</c:v>
                </c:pt>
                <c:pt idx="14">
                  <c:v>85.768000000000001</c:v>
                </c:pt>
                <c:pt idx="15">
                  <c:v>85.779399999999995</c:v>
                </c:pt>
                <c:pt idx="16">
                  <c:v>85.7864</c:v>
                </c:pt>
                <c:pt idx="17">
                  <c:v>85.793000000000006</c:v>
                </c:pt>
                <c:pt idx="18">
                  <c:v>85.796800000000005</c:v>
                </c:pt>
                <c:pt idx="19">
                  <c:v>85.800200000000004</c:v>
                </c:pt>
                <c:pt idx="20">
                  <c:v>85.801599999999993</c:v>
                </c:pt>
                <c:pt idx="21">
                  <c:v>85.799800000000005</c:v>
                </c:pt>
                <c:pt idx="22">
                  <c:v>85.784000000000006</c:v>
                </c:pt>
                <c:pt idx="23">
                  <c:v>85.758600000000001</c:v>
                </c:pt>
                <c:pt idx="24">
                  <c:v>85.731800000000007</c:v>
                </c:pt>
                <c:pt idx="25">
                  <c:v>85.709199999999996</c:v>
                </c:pt>
                <c:pt idx="26">
                  <c:v>85.691999999999993</c:v>
                </c:pt>
                <c:pt idx="27">
                  <c:v>85.680800000000005</c:v>
                </c:pt>
                <c:pt idx="28">
                  <c:v>85.670199999999994</c:v>
                </c:pt>
                <c:pt idx="29">
                  <c:v>85.660600000000002</c:v>
                </c:pt>
                <c:pt idx="30">
                  <c:v>85.653000000000006</c:v>
                </c:pt>
                <c:pt idx="31">
                  <c:v>85.646000000000001</c:v>
                </c:pt>
                <c:pt idx="32">
                  <c:v>85.647199999999998</c:v>
                </c:pt>
                <c:pt idx="33">
                  <c:v>85.651600000000002</c:v>
                </c:pt>
                <c:pt idx="34">
                  <c:v>85.6648</c:v>
                </c:pt>
                <c:pt idx="35">
                  <c:v>85.680999999999997</c:v>
                </c:pt>
                <c:pt idx="36">
                  <c:v>85.7072</c:v>
                </c:pt>
                <c:pt idx="37">
                  <c:v>85.7316</c:v>
                </c:pt>
                <c:pt idx="38">
                  <c:v>85.760800000000003</c:v>
                </c:pt>
                <c:pt idx="39">
                  <c:v>85.788200000000003</c:v>
                </c:pt>
                <c:pt idx="40">
                  <c:v>85.822000000000003</c:v>
                </c:pt>
                <c:pt idx="41">
                  <c:v>85.8536</c:v>
                </c:pt>
                <c:pt idx="42">
                  <c:v>85.892600000000002</c:v>
                </c:pt>
                <c:pt idx="43">
                  <c:v>85.937600000000003</c:v>
                </c:pt>
                <c:pt idx="44">
                  <c:v>85.988399999999999</c:v>
                </c:pt>
                <c:pt idx="45">
                  <c:v>86.032399999999996</c:v>
                </c:pt>
                <c:pt idx="46">
                  <c:v>86.077399999999997</c:v>
                </c:pt>
                <c:pt idx="47">
                  <c:v>86.119</c:v>
                </c:pt>
                <c:pt idx="48">
                  <c:v>86.168999999999997</c:v>
                </c:pt>
                <c:pt idx="49">
                  <c:v>86.195999999999998</c:v>
                </c:pt>
                <c:pt idx="50">
                  <c:v>86.205799999999996</c:v>
                </c:pt>
                <c:pt idx="51">
                  <c:v>86.215000000000003</c:v>
                </c:pt>
                <c:pt idx="52">
                  <c:v>86.227199999999996</c:v>
                </c:pt>
                <c:pt idx="53">
                  <c:v>86.245999999999995</c:v>
                </c:pt>
                <c:pt idx="54">
                  <c:v>86.280600000000007</c:v>
                </c:pt>
                <c:pt idx="55">
                  <c:v>86.329599999999999</c:v>
                </c:pt>
                <c:pt idx="56">
                  <c:v>86.367800000000003</c:v>
                </c:pt>
                <c:pt idx="57">
                  <c:v>86.397199999999998</c:v>
                </c:pt>
                <c:pt idx="58">
                  <c:v>86.421599999999998</c:v>
                </c:pt>
                <c:pt idx="59">
                  <c:v>86.447800000000001</c:v>
                </c:pt>
                <c:pt idx="60">
                  <c:v>86.469399999999993</c:v>
                </c:pt>
                <c:pt idx="61">
                  <c:v>86.492800000000003</c:v>
                </c:pt>
                <c:pt idx="62">
                  <c:v>86.5184</c:v>
                </c:pt>
                <c:pt idx="63">
                  <c:v>86.546400000000006</c:v>
                </c:pt>
                <c:pt idx="64">
                  <c:v>86.572599999999994</c:v>
                </c:pt>
                <c:pt idx="65">
                  <c:v>86.594800000000006</c:v>
                </c:pt>
                <c:pt idx="66">
                  <c:v>86.614599999999996</c:v>
                </c:pt>
                <c:pt idx="67">
                  <c:v>86.635199999999998</c:v>
                </c:pt>
                <c:pt idx="68">
                  <c:v>86.651799999999994</c:v>
                </c:pt>
                <c:pt idx="69">
                  <c:v>86.668599999999998</c:v>
                </c:pt>
                <c:pt idx="70">
                  <c:v>86.687600000000003</c:v>
                </c:pt>
                <c:pt idx="71">
                  <c:v>86.705799999999996</c:v>
                </c:pt>
                <c:pt idx="72">
                  <c:v>86.719800000000006</c:v>
                </c:pt>
                <c:pt idx="73">
                  <c:v>86.728800000000007</c:v>
                </c:pt>
                <c:pt idx="74">
                  <c:v>86.733400000000003</c:v>
                </c:pt>
                <c:pt idx="75">
                  <c:v>86.736000000000004</c:v>
                </c:pt>
                <c:pt idx="76">
                  <c:v>86.738399999999999</c:v>
                </c:pt>
                <c:pt idx="77">
                  <c:v>86.741600000000005</c:v>
                </c:pt>
                <c:pt idx="78">
                  <c:v>86.748000000000005</c:v>
                </c:pt>
              </c:numCache>
            </c:numRef>
          </c:yVal>
          <c:smooth val="1"/>
          <c:extLst>
            <c:ext xmlns:c16="http://schemas.microsoft.com/office/drawing/2014/chart" uri="{C3380CC4-5D6E-409C-BE32-E72D297353CC}">
              <c16:uniqueId val="{00000000-3102-0C4C-9B0C-8378661E28B0}"/>
            </c:ext>
          </c:extLst>
        </c:ser>
        <c:dLbls>
          <c:showLegendKey val="0"/>
          <c:showVal val="0"/>
          <c:showCatName val="0"/>
          <c:showSerName val="0"/>
          <c:showPercent val="0"/>
          <c:showBubbleSize val="0"/>
        </c:dLbls>
        <c:axId val="494440048"/>
        <c:axId val="494499872"/>
      </c:scatterChart>
      <c:scatterChart>
        <c:scatterStyle val="lineMarker"/>
        <c:varyColors val="0"/>
        <c:ser>
          <c:idx val="1"/>
          <c:order val="1"/>
          <c:tx>
            <c:v>Day350</c:v>
          </c:tx>
          <c:spPr>
            <a:ln w="38100" cap="rnd">
              <a:solidFill>
                <a:srgbClr val="FF0000"/>
              </a:solidFill>
              <a:round/>
            </a:ln>
            <a:effectLst/>
          </c:spPr>
          <c:marker>
            <c:symbol val="none"/>
          </c:marker>
          <c:xVal>
            <c:numRef>
              <c:f>(Sheet1!$K$5,Sheet1!$C$4)</c:f>
              <c:numCache>
                <c:formatCode>General</c:formatCode>
                <c:ptCount val="2"/>
                <c:pt idx="0">
                  <c:v>149.60297856899919</c:v>
                </c:pt>
                <c:pt idx="1">
                  <c:v>149.8064</c:v>
                </c:pt>
              </c:numCache>
            </c:numRef>
          </c:xVal>
          <c:yVal>
            <c:numRef>
              <c:f>(Sheet1!$J$5,Sheet1!$B$4)</c:f>
              <c:numCache>
                <c:formatCode>General</c:formatCode>
                <c:ptCount val="2"/>
                <c:pt idx="0">
                  <c:v>85.697000000000003</c:v>
                </c:pt>
                <c:pt idx="1">
                  <c:v>85.6494</c:v>
                </c:pt>
              </c:numCache>
            </c:numRef>
          </c:yVal>
          <c:smooth val="0"/>
          <c:extLst>
            <c:ext xmlns:c16="http://schemas.microsoft.com/office/drawing/2014/chart" uri="{C3380CC4-5D6E-409C-BE32-E72D297353CC}">
              <c16:uniqueId val="{00000001-3102-0C4C-9B0C-8378661E28B0}"/>
            </c:ext>
          </c:extLst>
        </c:ser>
        <c:ser>
          <c:idx val="2"/>
          <c:order val="2"/>
          <c:tx>
            <c:v>Day352</c:v>
          </c:tx>
          <c:spPr>
            <a:ln w="19050" cap="rnd">
              <a:solidFill>
                <a:schemeClr val="accent3"/>
              </a:solidFill>
              <a:round/>
            </a:ln>
            <a:effectLst/>
          </c:spPr>
          <c:marker>
            <c:symbol val="none"/>
          </c:marker>
          <c:dPt>
            <c:idx val="0"/>
            <c:marker>
              <c:symbol val="none"/>
            </c:marker>
            <c:bubble3D val="0"/>
            <c:spPr>
              <a:ln w="25400" cap="rnd">
                <a:solidFill>
                  <a:srgbClr val="FF0000"/>
                </a:solidFill>
                <a:round/>
              </a:ln>
              <a:effectLst/>
            </c:spPr>
            <c:extLst>
              <c:ext xmlns:c16="http://schemas.microsoft.com/office/drawing/2014/chart" uri="{C3380CC4-5D6E-409C-BE32-E72D297353CC}">
                <c16:uniqueId val="{00000003-3102-0C4C-9B0C-8378661E28B0}"/>
              </c:ext>
            </c:extLst>
          </c:dPt>
          <c:dPt>
            <c:idx val="1"/>
            <c:marker>
              <c:symbol val="none"/>
            </c:marker>
            <c:bubble3D val="0"/>
            <c:spPr>
              <a:ln w="38100" cap="rnd">
                <a:solidFill>
                  <a:srgbClr val="FF0000"/>
                </a:solidFill>
                <a:round/>
              </a:ln>
              <a:effectLst/>
            </c:spPr>
            <c:extLst>
              <c:ext xmlns:c16="http://schemas.microsoft.com/office/drawing/2014/chart" uri="{C3380CC4-5D6E-409C-BE32-E72D297353CC}">
                <c16:uniqueId val="{00000005-3102-0C4C-9B0C-8378661E28B0}"/>
              </c:ext>
            </c:extLst>
          </c:dPt>
          <c:xVal>
            <c:numRef>
              <c:f>(Sheet1!$K$7,Sheet1!$C$6)</c:f>
              <c:numCache>
                <c:formatCode>General</c:formatCode>
                <c:ptCount val="2"/>
                <c:pt idx="0">
                  <c:v>149.39202582472282</c:v>
                </c:pt>
                <c:pt idx="1">
                  <c:v>149.54740000000001</c:v>
                </c:pt>
              </c:numCache>
            </c:numRef>
          </c:xVal>
          <c:yVal>
            <c:numRef>
              <c:f>(Sheet1!$J$7,Sheet1!$B$6)</c:f>
              <c:numCache>
                <c:formatCode>General</c:formatCode>
                <c:ptCount val="2"/>
                <c:pt idx="0">
                  <c:v>85.786999999999992</c:v>
                </c:pt>
                <c:pt idx="1">
                  <c:v>85.743799999999993</c:v>
                </c:pt>
              </c:numCache>
            </c:numRef>
          </c:yVal>
          <c:smooth val="0"/>
          <c:extLst>
            <c:ext xmlns:c16="http://schemas.microsoft.com/office/drawing/2014/chart" uri="{C3380CC4-5D6E-409C-BE32-E72D297353CC}">
              <c16:uniqueId val="{00000006-3102-0C4C-9B0C-8378661E28B0}"/>
            </c:ext>
          </c:extLst>
        </c:ser>
        <c:ser>
          <c:idx val="0"/>
          <c:order val="3"/>
          <c:tx>
            <c:v>IABP_daily</c:v>
          </c:tx>
          <c:spPr>
            <a:ln w="25400" cap="rnd">
              <a:noFill/>
              <a:round/>
            </a:ln>
            <a:effectLst/>
          </c:spPr>
          <c:marker>
            <c:symbol val="circle"/>
            <c:size val="5"/>
            <c:spPr>
              <a:solidFill>
                <a:schemeClr val="accent1">
                  <a:alpha val="50000"/>
                </a:schemeClr>
              </a:solidFill>
              <a:ln w="12700">
                <a:solidFill>
                  <a:schemeClr val="accent1">
                    <a:alpha val="50000"/>
                  </a:schemeClr>
                </a:solidFill>
              </a:ln>
              <a:effectLst/>
            </c:spPr>
          </c:marker>
          <c:xVal>
            <c:numRef>
              <c:f>Sheet1!$C$3:$C$22</c:f>
              <c:numCache>
                <c:formatCode>General</c:formatCode>
                <c:ptCount val="20"/>
                <c:pt idx="0">
                  <c:v>150.0076</c:v>
                </c:pt>
                <c:pt idx="1">
                  <c:v>149.8064</c:v>
                </c:pt>
                <c:pt idx="2">
                  <c:v>149.7012</c:v>
                </c:pt>
                <c:pt idx="3">
                  <c:v>149.54740000000001</c:v>
                </c:pt>
                <c:pt idx="4">
                  <c:v>149.15620000000001</c:v>
                </c:pt>
                <c:pt idx="5">
                  <c:v>148.68539999999999</c:v>
                </c:pt>
                <c:pt idx="6">
                  <c:v>147.46279999999999</c:v>
                </c:pt>
                <c:pt idx="7">
                  <c:v>145.61199999999999</c:v>
                </c:pt>
                <c:pt idx="8">
                  <c:v>145.24019999999999</c:v>
                </c:pt>
                <c:pt idx="9">
                  <c:v>145.80520000000001</c:v>
                </c:pt>
                <c:pt idx="10">
                  <c:v>146.22980000000001</c:v>
                </c:pt>
                <c:pt idx="11">
                  <c:v>145.3776</c:v>
                </c:pt>
                <c:pt idx="12">
                  <c:v>146.39599999999999</c:v>
                </c:pt>
                <c:pt idx="13">
                  <c:v>147.1172</c:v>
                </c:pt>
                <c:pt idx="14">
                  <c:v>147.2328</c:v>
                </c:pt>
                <c:pt idx="15">
                  <c:v>147.279</c:v>
                </c:pt>
                <c:pt idx="16">
                  <c:v>146.52500000000001</c:v>
                </c:pt>
                <c:pt idx="17">
                  <c:v>146.13640000000001</c:v>
                </c:pt>
                <c:pt idx="18">
                  <c:v>145.7782</c:v>
                </c:pt>
                <c:pt idx="19">
                  <c:v>144.77199999999999</c:v>
                </c:pt>
              </c:numCache>
            </c:numRef>
          </c:xVal>
          <c:yVal>
            <c:numRef>
              <c:f>Sheet1!$B$3:$B$22</c:f>
              <c:numCache>
                <c:formatCode>General</c:formatCode>
                <c:ptCount val="20"/>
                <c:pt idx="0">
                  <c:v>85.601799999999997</c:v>
                </c:pt>
                <c:pt idx="1">
                  <c:v>85.6494</c:v>
                </c:pt>
                <c:pt idx="2">
                  <c:v>85.700599999999994</c:v>
                </c:pt>
                <c:pt idx="3">
                  <c:v>85.743799999999993</c:v>
                </c:pt>
                <c:pt idx="4">
                  <c:v>85.7864</c:v>
                </c:pt>
                <c:pt idx="5">
                  <c:v>85.801599999999993</c:v>
                </c:pt>
                <c:pt idx="6">
                  <c:v>85.731800000000007</c:v>
                </c:pt>
                <c:pt idx="7">
                  <c:v>85.670199999999994</c:v>
                </c:pt>
                <c:pt idx="8">
                  <c:v>85.647199999999998</c:v>
                </c:pt>
                <c:pt idx="9">
                  <c:v>85.7072</c:v>
                </c:pt>
                <c:pt idx="10">
                  <c:v>85.822000000000003</c:v>
                </c:pt>
                <c:pt idx="11">
                  <c:v>85.988399999999999</c:v>
                </c:pt>
                <c:pt idx="12">
                  <c:v>86.168999999999997</c:v>
                </c:pt>
                <c:pt idx="13">
                  <c:v>86.227199999999996</c:v>
                </c:pt>
                <c:pt idx="14">
                  <c:v>86.367800000000003</c:v>
                </c:pt>
                <c:pt idx="15">
                  <c:v>86.469399999999993</c:v>
                </c:pt>
                <c:pt idx="16">
                  <c:v>86.572599999999994</c:v>
                </c:pt>
                <c:pt idx="17">
                  <c:v>86.651799999999994</c:v>
                </c:pt>
                <c:pt idx="18">
                  <c:v>86.719800000000006</c:v>
                </c:pt>
                <c:pt idx="19">
                  <c:v>86.738399999999999</c:v>
                </c:pt>
              </c:numCache>
            </c:numRef>
          </c:yVal>
          <c:smooth val="0"/>
          <c:extLst>
            <c:ext xmlns:c16="http://schemas.microsoft.com/office/drawing/2014/chart" uri="{C3380CC4-5D6E-409C-BE32-E72D297353CC}">
              <c16:uniqueId val="{00000007-3102-0C4C-9B0C-8378661E28B0}"/>
            </c:ext>
          </c:extLst>
        </c:ser>
        <c:ser>
          <c:idx val="4"/>
          <c:order val="4"/>
          <c:tx>
            <c:v>Day354</c:v>
          </c:tx>
          <c:spPr>
            <a:ln w="38100" cap="rnd">
              <a:solidFill>
                <a:srgbClr val="FF0000"/>
              </a:solidFill>
              <a:round/>
            </a:ln>
            <a:effectLst/>
          </c:spPr>
          <c:marker>
            <c:symbol val="none"/>
          </c:marker>
          <c:xVal>
            <c:numRef>
              <c:f>(Sheet1!$K$9,Sheet1!$C$8)</c:f>
              <c:numCache>
                <c:formatCode>General</c:formatCode>
                <c:ptCount val="2"/>
                <c:pt idx="0">
                  <c:v>148.21289235726675</c:v>
                </c:pt>
                <c:pt idx="1">
                  <c:v>148.68539999999999</c:v>
                </c:pt>
              </c:numCache>
            </c:numRef>
          </c:xVal>
          <c:yVal>
            <c:numRef>
              <c:f>(Sheet1!$J$9,Sheet1!$B$8)</c:f>
              <c:numCache>
                <c:formatCode>General</c:formatCode>
                <c:ptCount val="2"/>
                <c:pt idx="0">
                  <c:v>85.816799999999986</c:v>
                </c:pt>
                <c:pt idx="1">
                  <c:v>85.801599999999993</c:v>
                </c:pt>
              </c:numCache>
            </c:numRef>
          </c:yVal>
          <c:smooth val="0"/>
          <c:extLst>
            <c:ext xmlns:c16="http://schemas.microsoft.com/office/drawing/2014/chart" uri="{C3380CC4-5D6E-409C-BE32-E72D297353CC}">
              <c16:uniqueId val="{00000008-3102-0C4C-9B0C-8378661E28B0}"/>
            </c:ext>
          </c:extLst>
        </c:ser>
        <c:ser>
          <c:idx val="5"/>
          <c:order val="5"/>
          <c:tx>
            <c:v>Day356</c:v>
          </c:tx>
          <c:spPr>
            <a:ln w="38100" cap="rnd">
              <a:solidFill>
                <a:srgbClr val="FF0000"/>
              </a:solidFill>
              <a:round/>
            </a:ln>
            <a:effectLst/>
          </c:spPr>
          <c:marker>
            <c:symbol val="none"/>
          </c:marker>
          <c:xVal>
            <c:numRef>
              <c:f>(Sheet1!$K$11,Sheet1!$C$10)</c:f>
              <c:numCache>
                <c:formatCode>General</c:formatCode>
                <c:ptCount val="2"/>
                <c:pt idx="0">
                  <c:v>143.78711435823126</c:v>
                </c:pt>
                <c:pt idx="1">
                  <c:v>145.61199999999999</c:v>
                </c:pt>
              </c:numCache>
            </c:numRef>
          </c:xVal>
          <c:yVal>
            <c:numRef>
              <c:f>(Sheet1!$J$11,Sheet1!$B$10)</c:f>
              <c:numCache>
                <c:formatCode>General</c:formatCode>
                <c:ptCount val="2"/>
                <c:pt idx="0">
                  <c:v>85.608599999999981</c:v>
                </c:pt>
                <c:pt idx="1">
                  <c:v>85.670199999999994</c:v>
                </c:pt>
              </c:numCache>
            </c:numRef>
          </c:yVal>
          <c:smooth val="0"/>
          <c:extLst>
            <c:ext xmlns:c16="http://schemas.microsoft.com/office/drawing/2014/chart" uri="{C3380CC4-5D6E-409C-BE32-E72D297353CC}">
              <c16:uniqueId val="{00000009-3102-0C4C-9B0C-8378661E28B0}"/>
            </c:ext>
          </c:extLst>
        </c:ser>
        <c:ser>
          <c:idx val="6"/>
          <c:order val="6"/>
          <c:tx>
            <c:v>Day358</c:v>
          </c:tx>
          <c:spPr>
            <a:ln w="38100" cap="rnd">
              <a:solidFill>
                <a:srgbClr val="FF0000"/>
              </a:solidFill>
              <a:round/>
            </a:ln>
            <a:effectLst/>
          </c:spPr>
          <c:marker>
            <c:symbol val="none"/>
          </c:marker>
          <c:xVal>
            <c:numRef>
              <c:f>(Sheet1!$K$13,Sheet1!$C$12)</c:f>
              <c:numCache>
                <c:formatCode>General</c:formatCode>
                <c:ptCount val="2"/>
                <c:pt idx="0">
                  <c:v>146.3781940625627</c:v>
                </c:pt>
                <c:pt idx="1">
                  <c:v>145.80520000000001</c:v>
                </c:pt>
              </c:numCache>
            </c:numRef>
          </c:xVal>
          <c:yVal>
            <c:numRef>
              <c:f>(Sheet1!$J$13,Sheet1!$B$12)</c:f>
              <c:numCache>
                <c:formatCode>General</c:formatCode>
                <c:ptCount val="2"/>
                <c:pt idx="0">
                  <c:v>85.767200000000003</c:v>
                </c:pt>
                <c:pt idx="1">
                  <c:v>85.7072</c:v>
                </c:pt>
              </c:numCache>
            </c:numRef>
          </c:yVal>
          <c:smooth val="0"/>
          <c:extLst>
            <c:ext xmlns:c16="http://schemas.microsoft.com/office/drawing/2014/chart" uri="{C3380CC4-5D6E-409C-BE32-E72D297353CC}">
              <c16:uniqueId val="{0000000A-3102-0C4C-9B0C-8378661E28B0}"/>
            </c:ext>
          </c:extLst>
        </c:ser>
        <c:ser>
          <c:idx val="7"/>
          <c:order val="7"/>
          <c:tx>
            <c:v>Day360</c:v>
          </c:tx>
          <c:spPr>
            <a:ln w="38100" cap="rnd">
              <a:solidFill>
                <a:srgbClr val="FF0000"/>
              </a:solidFill>
              <a:round/>
            </a:ln>
            <a:effectLst/>
          </c:spPr>
          <c:marker>
            <c:symbol val="none"/>
          </c:marker>
          <c:xVal>
            <c:numRef>
              <c:f>(Sheet1!$K$15,Sheet1!$C$14)</c:f>
              <c:numCache>
                <c:formatCode>General</c:formatCode>
                <c:ptCount val="2"/>
                <c:pt idx="0">
                  <c:v>144.48857957871721</c:v>
                </c:pt>
                <c:pt idx="1">
                  <c:v>145.3776</c:v>
                </c:pt>
              </c:numCache>
            </c:numRef>
          </c:xVal>
          <c:yVal>
            <c:numRef>
              <c:f>(Sheet1!$J$15,Sheet1!$B$14)</c:f>
              <c:numCache>
                <c:formatCode>General</c:formatCode>
                <c:ptCount val="2"/>
                <c:pt idx="0">
                  <c:v>86.154799999999994</c:v>
                </c:pt>
                <c:pt idx="1">
                  <c:v>85.988399999999999</c:v>
                </c:pt>
              </c:numCache>
            </c:numRef>
          </c:yVal>
          <c:smooth val="0"/>
          <c:extLst>
            <c:ext xmlns:c16="http://schemas.microsoft.com/office/drawing/2014/chart" uri="{C3380CC4-5D6E-409C-BE32-E72D297353CC}">
              <c16:uniqueId val="{0000000B-3102-0C4C-9B0C-8378661E28B0}"/>
            </c:ext>
          </c:extLst>
        </c:ser>
        <c:ser>
          <c:idx val="8"/>
          <c:order val="8"/>
          <c:tx>
            <c:v>Day362</c:v>
          </c:tx>
          <c:spPr>
            <a:ln w="38100" cap="rnd">
              <a:solidFill>
                <a:srgbClr val="FF0000"/>
              </a:solidFill>
              <a:round/>
            </a:ln>
            <a:effectLst/>
          </c:spPr>
          <c:marker>
            <c:symbol val="none"/>
          </c:marker>
          <c:xVal>
            <c:numRef>
              <c:f>(Sheet1!$K$17,Sheet1!$C$16)</c:f>
              <c:numCache>
                <c:formatCode>General</c:formatCode>
                <c:ptCount val="2"/>
                <c:pt idx="0">
                  <c:v>147.84968363557084</c:v>
                </c:pt>
                <c:pt idx="1">
                  <c:v>147.1172</c:v>
                </c:pt>
              </c:numCache>
            </c:numRef>
          </c:xVal>
          <c:yVal>
            <c:numRef>
              <c:f>(Sheet1!$J$17,Sheet1!$B$16)</c:f>
              <c:numCache>
                <c:formatCode>General</c:formatCode>
                <c:ptCount val="2"/>
                <c:pt idx="0">
                  <c:v>86.285399999999996</c:v>
                </c:pt>
                <c:pt idx="1">
                  <c:v>86.227199999999996</c:v>
                </c:pt>
              </c:numCache>
            </c:numRef>
          </c:yVal>
          <c:smooth val="0"/>
          <c:extLst>
            <c:ext xmlns:c16="http://schemas.microsoft.com/office/drawing/2014/chart" uri="{C3380CC4-5D6E-409C-BE32-E72D297353CC}">
              <c16:uniqueId val="{0000000C-3102-0C4C-9B0C-8378661E28B0}"/>
            </c:ext>
          </c:extLst>
        </c:ser>
        <c:ser>
          <c:idx val="9"/>
          <c:order val="9"/>
          <c:tx>
            <c:v>Day364</c:v>
          </c:tx>
          <c:spPr>
            <a:ln w="38100" cap="rnd">
              <a:solidFill>
                <a:srgbClr val="FF0000"/>
              </a:solidFill>
              <a:round/>
            </a:ln>
            <a:effectLst/>
          </c:spPr>
          <c:marker>
            <c:symbol val="none"/>
          </c:marker>
          <c:xVal>
            <c:numRef>
              <c:f>(Sheet1!$K$19,Sheet1!$C$18)</c:f>
              <c:numCache>
                <c:formatCode>General</c:formatCode>
                <c:ptCount val="2"/>
                <c:pt idx="0">
                  <c:v>147.3265671809047</c:v>
                </c:pt>
                <c:pt idx="1">
                  <c:v>147.279</c:v>
                </c:pt>
              </c:numCache>
            </c:numRef>
          </c:xVal>
          <c:yVal>
            <c:numRef>
              <c:f>(Sheet1!$J$19,Sheet1!$B$18)</c:f>
              <c:numCache>
                <c:formatCode>General</c:formatCode>
                <c:ptCount val="2"/>
                <c:pt idx="0">
                  <c:v>86.570999999999984</c:v>
                </c:pt>
                <c:pt idx="1">
                  <c:v>86.469399999999993</c:v>
                </c:pt>
              </c:numCache>
            </c:numRef>
          </c:yVal>
          <c:smooth val="0"/>
          <c:extLst>
            <c:ext xmlns:c16="http://schemas.microsoft.com/office/drawing/2014/chart" uri="{C3380CC4-5D6E-409C-BE32-E72D297353CC}">
              <c16:uniqueId val="{0000000D-3102-0C4C-9B0C-8378661E28B0}"/>
            </c:ext>
          </c:extLst>
        </c:ser>
        <c:ser>
          <c:idx val="10"/>
          <c:order val="10"/>
          <c:tx>
            <c:v>Day1</c:v>
          </c:tx>
          <c:spPr>
            <a:ln w="38100" cap="rnd">
              <a:solidFill>
                <a:srgbClr val="FF0000"/>
              </a:solidFill>
              <a:round/>
            </a:ln>
            <a:effectLst/>
          </c:spPr>
          <c:marker>
            <c:symbol val="none"/>
          </c:marker>
          <c:xVal>
            <c:numRef>
              <c:f>(Sheet1!$K$21,Sheet1!$C$20)</c:f>
              <c:numCache>
                <c:formatCode>General</c:formatCode>
                <c:ptCount val="2"/>
                <c:pt idx="0">
                  <c:v>145.73839571253779</c:v>
                </c:pt>
                <c:pt idx="1">
                  <c:v>146.13640000000001</c:v>
                </c:pt>
              </c:numCache>
            </c:numRef>
          </c:xVal>
          <c:yVal>
            <c:numRef>
              <c:f>(Sheet1!$J$21,Sheet1!$B$20)</c:f>
              <c:numCache>
                <c:formatCode>General</c:formatCode>
                <c:ptCount val="2"/>
                <c:pt idx="0">
                  <c:v>86.730999999999995</c:v>
                </c:pt>
                <c:pt idx="1">
                  <c:v>86.651799999999994</c:v>
                </c:pt>
              </c:numCache>
            </c:numRef>
          </c:yVal>
          <c:smooth val="0"/>
          <c:extLst>
            <c:ext xmlns:c16="http://schemas.microsoft.com/office/drawing/2014/chart" uri="{C3380CC4-5D6E-409C-BE32-E72D297353CC}">
              <c16:uniqueId val="{0000000E-3102-0C4C-9B0C-8378661E28B0}"/>
            </c:ext>
          </c:extLst>
        </c:ser>
        <c:dLbls>
          <c:showLegendKey val="0"/>
          <c:showVal val="0"/>
          <c:showCatName val="0"/>
          <c:showSerName val="0"/>
          <c:showPercent val="0"/>
          <c:showBubbleSize val="0"/>
        </c:dLbls>
        <c:axId val="494440048"/>
        <c:axId val="494499872"/>
      </c:scatterChart>
      <c:valAx>
        <c:axId val="4944400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t>Longitude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494499872"/>
        <c:crosses val="autoZero"/>
        <c:crossBetween val="midCat"/>
      </c:valAx>
      <c:valAx>
        <c:axId val="4944998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t>Latitiude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49444004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BUOY ID: 300234061872720 (1/4 day forecast)</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3"/>
          <c:order val="0"/>
          <c:tx>
            <c:v>IABP</c:v>
          </c:tx>
          <c:spPr>
            <a:ln w="50800" cap="rnd">
              <a:solidFill>
                <a:schemeClr val="accent1">
                  <a:alpha val="35000"/>
                </a:schemeClr>
              </a:solidFill>
              <a:round/>
            </a:ln>
            <a:effectLst/>
          </c:spPr>
          <c:marker>
            <c:symbol val="circle"/>
            <c:size val="5"/>
            <c:spPr>
              <a:noFill/>
              <a:ln w="9525">
                <a:noFill/>
              </a:ln>
              <a:effectLst/>
            </c:spPr>
          </c:marker>
          <c:xVal>
            <c:numRef>
              <c:f>Sheet1!$C$26:$C$104</c:f>
              <c:numCache>
                <c:formatCode>General</c:formatCode>
                <c:ptCount val="79"/>
                <c:pt idx="0">
                  <c:v>150.0076</c:v>
                </c:pt>
                <c:pt idx="1">
                  <c:v>149.9838</c:v>
                </c:pt>
                <c:pt idx="2">
                  <c:v>149.92699999999999</c:v>
                </c:pt>
                <c:pt idx="3">
                  <c:v>149.8698</c:v>
                </c:pt>
                <c:pt idx="4">
                  <c:v>149.8064</c:v>
                </c:pt>
                <c:pt idx="5">
                  <c:v>149.77340000000001</c:v>
                </c:pt>
                <c:pt idx="6">
                  <c:v>149.744</c:v>
                </c:pt>
                <c:pt idx="7">
                  <c:v>149.73480000000001</c:v>
                </c:pt>
                <c:pt idx="8">
                  <c:v>149.7012</c:v>
                </c:pt>
                <c:pt idx="9">
                  <c:v>149.70959999999999</c:v>
                </c:pt>
                <c:pt idx="10">
                  <c:v>149.65860000000001</c:v>
                </c:pt>
                <c:pt idx="11">
                  <c:v>149.6208</c:v>
                </c:pt>
                <c:pt idx="12">
                  <c:v>149.54740000000001</c:v>
                </c:pt>
                <c:pt idx="13">
                  <c:v>149.46639999999999</c:v>
                </c:pt>
                <c:pt idx="14">
                  <c:v>149.363</c:v>
                </c:pt>
                <c:pt idx="15">
                  <c:v>149.2662</c:v>
                </c:pt>
                <c:pt idx="16">
                  <c:v>149.15620000000001</c:v>
                </c:pt>
                <c:pt idx="17">
                  <c:v>149.04159999999999</c:v>
                </c:pt>
                <c:pt idx="18">
                  <c:v>148.91839999999999</c:v>
                </c:pt>
                <c:pt idx="19">
                  <c:v>148.8066</c:v>
                </c:pt>
                <c:pt idx="20">
                  <c:v>148.68539999999999</c:v>
                </c:pt>
                <c:pt idx="21">
                  <c:v>148.53980000000001</c:v>
                </c:pt>
                <c:pt idx="22">
                  <c:v>148.2724</c:v>
                </c:pt>
                <c:pt idx="23">
                  <c:v>147.8946</c:v>
                </c:pt>
                <c:pt idx="24">
                  <c:v>147.46279999999999</c:v>
                </c:pt>
                <c:pt idx="25">
                  <c:v>146.9828</c:v>
                </c:pt>
                <c:pt idx="26">
                  <c:v>146.49940000000001</c:v>
                </c:pt>
                <c:pt idx="27">
                  <c:v>146.0112</c:v>
                </c:pt>
                <c:pt idx="28">
                  <c:v>145.61199999999999</c:v>
                </c:pt>
                <c:pt idx="29">
                  <c:v>145.32400000000001</c:v>
                </c:pt>
                <c:pt idx="30">
                  <c:v>145.18940000000001</c:v>
                </c:pt>
                <c:pt idx="31">
                  <c:v>145.15940000000001</c:v>
                </c:pt>
                <c:pt idx="32">
                  <c:v>145.24019999999999</c:v>
                </c:pt>
                <c:pt idx="33">
                  <c:v>145.3434</c:v>
                </c:pt>
                <c:pt idx="34">
                  <c:v>145.50559999999999</c:v>
                </c:pt>
                <c:pt idx="35">
                  <c:v>145.65199999999999</c:v>
                </c:pt>
                <c:pt idx="36">
                  <c:v>145.80520000000001</c:v>
                </c:pt>
                <c:pt idx="37">
                  <c:v>145.922</c:v>
                </c:pt>
                <c:pt idx="38">
                  <c:v>146.1044</c:v>
                </c:pt>
                <c:pt idx="39">
                  <c:v>146.23699999999999</c:v>
                </c:pt>
                <c:pt idx="40">
                  <c:v>146.22980000000001</c:v>
                </c:pt>
                <c:pt idx="41">
                  <c:v>146.06479999999999</c:v>
                </c:pt>
                <c:pt idx="42">
                  <c:v>145.9342</c:v>
                </c:pt>
                <c:pt idx="43">
                  <c:v>145.65960000000001</c:v>
                </c:pt>
                <c:pt idx="44">
                  <c:v>145.3776</c:v>
                </c:pt>
                <c:pt idx="45">
                  <c:v>145.529</c:v>
                </c:pt>
                <c:pt idx="46">
                  <c:v>145.898</c:v>
                </c:pt>
                <c:pt idx="47">
                  <c:v>146.14279999999999</c:v>
                </c:pt>
                <c:pt idx="48">
                  <c:v>146.39599999999999</c:v>
                </c:pt>
                <c:pt idx="49">
                  <c:v>146.637</c:v>
                </c:pt>
                <c:pt idx="50">
                  <c:v>146.9564</c:v>
                </c:pt>
                <c:pt idx="51">
                  <c:v>147.04320000000001</c:v>
                </c:pt>
                <c:pt idx="52">
                  <c:v>147.1172</c:v>
                </c:pt>
                <c:pt idx="53">
                  <c:v>147.096</c:v>
                </c:pt>
                <c:pt idx="54">
                  <c:v>147.02000000000001</c:v>
                </c:pt>
                <c:pt idx="55">
                  <c:v>147.11099999999999</c:v>
                </c:pt>
                <c:pt idx="56">
                  <c:v>147.2328</c:v>
                </c:pt>
                <c:pt idx="57">
                  <c:v>147.31139999999999</c:v>
                </c:pt>
                <c:pt idx="58">
                  <c:v>147.3244</c:v>
                </c:pt>
                <c:pt idx="59">
                  <c:v>147.34540000000001</c:v>
                </c:pt>
                <c:pt idx="60">
                  <c:v>147.279</c:v>
                </c:pt>
                <c:pt idx="61">
                  <c:v>147.17619999999999</c:v>
                </c:pt>
                <c:pt idx="62">
                  <c:v>146.99879999999999</c:v>
                </c:pt>
                <c:pt idx="63">
                  <c:v>146.76140000000001</c:v>
                </c:pt>
                <c:pt idx="64">
                  <c:v>146.52500000000001</c:v>
                </c:pt>
                <c:pt idx="65">
                  <c:v>146.46</c:v>
                </c:pt>
                <c:pt idx="66">
                  <c:v>146.3974</c:v>
                </c:pt>
                <c:pt idx="67">
                  <c:v>146.27279999999999</c:v>
                </c:pt>
                <c:pt idx="68">
                  <c:v>146.13640000000001</c:v>
                </c:pt>
                <c:pt idx="69">
                  <c:v>146.0462</c:v>
                </c:pt>
                <c:pt idx="70">
                  <c:v>145.99539999999999</c:v>
                </c:pt>
                <c:pt idx="71">
                  <c:v>145.90819999999999</c:v>
                </c:pt>
                <c:pt idx="72">
                  <c:v>145.7782</c:v>
                </c:pt>
                <c:pt idx="73">
                  <c:v>145.5728</c:v>
                </c:pt>
                <c:pt idx="74">
                  <c:v>145.29560000000001</c:v>
                </c:pt>
                <c:pt idx="75">
                  <c:v>145.0224</c:v>
                </c:pt>
                <c:pt idx="76">
                  <c:v>144.77199999999999</c:v>
                </c:pt>
                <c:pt idx="77">
                  <c:v>144.61539999999999</c:v>
                </c:pt>
                <c:pt idx="78">
                  <c:v>144.5316</c:v>
                </c:pt>
              </c:numCache>
            </c:numRef>
          </c:xVal>
          <c:yVal>
            <c:numRef>
              <c:f>Sheet1!$B$26:$B$104</c:f>
              <c:numCache>
                <c:formatCode>General</c:formatCode>
                <c:ptCount val="79"/>
                <c:pt idx="0">
                  <c:v>85.601799999999997</c:v>
                </c:pt>
                <c:pt idx="1">
                  <c:v>85.614599999999996</c:v>
                </c:pt>
                <c:pt idx="2">
                  <c:v>85.624799999999993</c:v>
                </c:pt>
                <c:pt idx="3">
                  <c:v>85.637200000000007</c:v>
                </c:pt>
                <c:pt idx="4">
                  <c:v>85.6494</c:v>
                </c:pt>
                <c:pt idx="5">
                  <c:v>85.663799999999995</c:v>
                </c:pt>
                <c:pt idx="6">
                  <c:v>85.676599999999993</c:v>
                </c:pt>
                <c:pt idx="7">
                  <c:v>85.69</c:v>
                </c:pt>
                <c:pt idx="8">
                  <c:v>85.700599999999994</c:v>
                </c:pt>
                <c:pt idx="9">
                  <c:v>85.714600000000004</c:v>
                </c:pt>
                <c:pt idx="10">
                  <c:v>85.723600000000005</c:v>
                </c:pt>
                <c:pt idx="11">
                  <c:v>85.735200000000006</c:v>
                </c:pt>
                <c:pt idx="12">
                  <c:v>85.743799999999993</c:v>
                </c:pt>
                <c:pt idx="13">
                  <c:v>85.757800000000003</c:v>
                </c:pt>
                <c:pt idx="14">
                  <c:v>85.768000000000001</c:v>
                </c:pt>
                <c:pt idx="15">
                  <c:v>85.779399999999995</c:v>
                </c:pt>
                <c:pt idx="16">
                  <c:v>85.7864</c:v>
                </c:pt>
                <c:pt idx="17">
                  <c:v>85.793000000000006</c:v>
                </c:pt>
                <c:pt idx="18">
                  <c:v>85.796800000000005</c:v>
                </c:pt>
                <c:pt idx="19">
                  <c:v>85.800200000000004</c:v>
                </c:pt>
                <c:pt idx="20">
                  <c:v>85.801599999999993</c:v>
                </c:pt>
                <c:pt idx="21">
                  <c:v>85.799800000000005</c:v>
                </c:pt>
                <c:pt idx="22">
                  <c:v>85.784000000000006</c:v>
                </c:pt>
                <c:pt idx="23">
                  <c:v>85.758600000000001</c:v>
                </c:pt>
                <c:pt idx="24">
                  <c:v>85.731800000000007</c:v>
                </c:pt>
                <c:pt idx="25">
                  <c:v>85.709199999999996</c:v>
                </c:pt>
                <c:pt idx="26">
                  <c:v>85.691999999999993</c:v>
                </c:pt>
                <c:pt idx="27">
                  <c:v>85.680800000000005</c:v>
                </c:pt>
                <c:pt idx="28">
                  <c:v>85.670199999999994</c:v>
                </c:pt>
                <c:pt idx="29">
                  <c:v>85.660600000000002</c:v>
                </c:pt>
                <c:pt idx="30">
                  <c:v>85.653000000000006</c:v>
                </c:pt>
                <c:pt idx="31">
                  <c:v>85.646000000000001</c:v>
                </c:pt>
                <c:pt idx="32">
                  <c:v>85.647199999999998</c:v>
                </c:pt>
                <c:pt idx="33">
                  <c:v>85.651600000000002</c:v>
                </c:pt>
                <c:pt idx="34">
                  <c:v>85.6648</c:v>
                </c:pt>
                <c:pt idx="35">
                  <c:v>85.680999999999997</c:v>
                </c:pt>
                <c:pt idx="36">
                  <c:v>85.7072</c:v>
                </c:pt>
                <c:pt idx="37">
                  <c:v>85.7316</c:v>
                </c:pt>
                <c:pt idx="38">
                  <c:v>85.760800000000003</c:v>
                </c:pt>
                <c:pt idx="39">
                  <c:v>85.788200000000003</c:v>
                </c:pt>
                <c:pt idx="40">
                  <c:v>85.822000000000003</c:v>
                </c:pt>
                <c:pt idx="41">
                  <c:v>85.8536</c:v>
                </c:pt>
                <c:pt idx="42">
                  <c:v>85.892600000000002</c:v>
                </c:pt>
                <c:pt idx="43">
                  <c:v>85.937600000000003</c:v>
                </c:pt>
                <c:pt idx="44">
                  <c:v>85.988399999999999</c:v>
                </c:pt>
                <c:pt idx="45">
                  <c:v>86.032399999999996</c:v>
                </c:pt>
                <c:pt idx="46">
                  <c:v>86.077399999999997</c:v>
                </c:pt>
                <c:pt idx="47">
                  <c:v>86.119</c:v>
                </c:pt>
                <c:pt idx="48">
                  <c:v>86.168999999999997</c:v>
                </c:pt>
                <c:pt idx="49">
                  <c:v>86.195999999999998</c:v>
                </c:pt>
                <c:pt idx="50">
                  <c:v>86.205799999999996</c:v>
                </c:pt>
                <c:pt idx="51">
                  <c:v>86.215000000000003</c:v>
                </c:pt>
                <c:pt idx="52">
                  <c:v>86.227199999999996</c:v>
                </c:pt>
                <c:pt idx="53">
                  <c:v>86.245999999999995</c:v>
                </c:pt>
                <c:pt idx="54">
                  <c:v>86.280600000000007</c:v>
                </c:pt>
                <c:pt idx="55">
                  <c:v>86.329599999999999</c:v>
                </c:pt>
                <c:pt idx="56">
                  <c:v>86.367800000000003</c:v>
                </c:pt>
                <c:pt idx="57">
                  <c:v>86.397199999999998</c:v>
                </c:pt>
                <c:pt idx="58">
                  <c:v>86.421599999999998</c:v>
                </c:pt>
                <c:pt idx="59">
                  <c:v>86.447800000000001</c:v>
                </c:pt>
                <c:pt idx="60">
                  <c:v>86.469399999999993</c:v>
                </c:pt>
                <c:pt idx="61">
                  <c:v>86.492800000000003</c:v>
                </c:pt>
                <c:pt idx="62">
                  <c:v>86.5184</c:v>
                </c:pt>
                <c:pt idx="63">
                  <c:v>86.546400000000006</c:v>
                </c:pt>
                <c:pt idx="64">
                  <c:v>86.572599999999994</c:v>
                </c:pt>
                <c:pt idx="65">
                  <c:v>86.594800000000006</c:v>
                </c:pt>
                <c:pt idx="66">
                  <c:v>86.614599999999996</c:v>
                </c:pt>
                <c:pt idx="67">
                  <c:v>86.635199999999998</c:v>
                </c:pt>
                <c:pt idx="68">
                  <c:v>86.651799999999994</c:v>
                </c:pt>
                <c:pt idx="69">
                  <c:v>86.668599999999998</c:v>
                </c:pt>
                <c:pt idx="70">
                  <c:v>86.687600000000003</c:v>
                </c:pt>
                <c:pt idx="71">
                  <c:v>86.705799999999996</c:v>
                </c:pt>
                <c:pt idx="72">
                  <c:v>86.719800000000006</c:v>
                </c:pt>
                <c:pt idx="73">
                  <c:v>86.728800000000007</c:v>
                </c:pt>
                <c:pt idx="74">
                  <c:v>86.733400000000003</c:v>
                </c:pt>
                <c:pt idx="75">
                  <c:v>86.736000000000004</c:v>
                </c:pt>
                <c:pt idx="76">
                  <c:v>86.738399999999999</c:v>
                </c:pt>
                <c:pt idx="77">
                  <c:v>86.741600000000005</c:v>
                </c:pt>
                <c:pt idx="78">
                  <c:v>86.748000000000005</c:v>
                </c:pt>
              </c:numCache>
            </c:numRef>
          </c:yVal>
          <c:smooth val="1"/>
          <c:extLst>
            <c:ext xmlns:c16="http://schemas.microsoft.com/office/drawing/2014/chart" uri="{C3380CC4-5D6E-409C-BE32-E72D297353CC}">
              <c16:uniqueId val="{00000000-4905-EB48-A35D-E4EF17AB71E4}"/>
            </c:ext>
          </c:extLst>
        </c:ser>
        <c:dLbls>
          <c:showLegendKey val="0"/>
          <c:showVal val="0"/>
          <c:showCatName val="0"/>
          <c:showSerName val="0"/>
          <c:showPercent val="0"/>
          <c:showBubbleSize val="0"/>
        </c:dLbls>
        <c:axId val="494440048"/>
        <c:axId val="494499872"/>
      </c:scatterChart>
      <c:scatterChart>
        <c:scatterStyle val="lineMarker"/>
        <c:varyColors val="0"/>
        <c:ser>
          <c:idx val="1"/>
          <c:order val="1"/>
          <c:tx>
            <c:v>Day350</c:v>
          </c:tx>
          <c:spPr>
            <a:ln w="38100" cap="rnd">
              <a:solidFill>
                <a:srgbClr val="FF0000"/>
              </a:solidFill>
              <a:round/>
            </a:ln>
            <a:effectLst/>
          </c:spPr>
          <c:marker>
            <c:symbol val="none"/>
          </c:marker>
          <c:dPt>
            <c:idx val="0"/>
            <c:marker>
              <c:symbol val="none"/>
            </c:marker>
            <c:bubble3D val="0"/>
            <c:spPr>
              <a:ln w="38100" cap="rnd">
                <a:solidFill>
                  <a:srgbClr val="FF0000"/>
                </a:solidFill>
                <a:round/>
              </a:ln>
              <a:effectLst/>
            </c:spPr>
            <c:extLst>
              <c:ext xmlns:c16="http://schemas.microsoft.com/office/drawing/2014/chart" uri="{C3380CC4-5D6E-409C-BE32-E72D297353CC}">
                <c16:uniqueId val="{00000002-4905-EB48-A35D-E4EF17AB71E4}"/>
              </c:ext>
            </c:extLst>
          </c:dPt>
          <c:xVal>
            <c:numRef>
              <c:f>(Sheet1!$K$34,Sheet1!$C$33)</c:f>
              <c:numCache>
                <c:formatCode>General</c:formatCode>
                <c:ptCount val="2"/>
                <c:pt idx="0">
                  <c:v>149.72557136160123</c:v>
                </c:pt>
                <c:pt idx="1">
                  <c:v>149.73480000000001</c:v>
                </c:pt>
              </c:numCache>
            </c:numRef>
          </c:xVal>
          <c:yVal>
            <c:numRef>
              <c:f>(Sheet1!$J$34,Sheet1!$B$33)</c:f>
              <c:numCache>
                <c:formatCode>General</c:formatCode>
                <c:ptCount val="2"/>
                <c:pt idx="0">
                  <c:v>85.703400000000002</c:v>
                </c:pt>
                <c:pt idx="1">
                  <c:v>85.69</c:v>
                </c:pt>
              </c:numCache>
            </c:numRef>
          </c:yVal>
          <c:smooth val="0"/>
          <c:extLst>
            <c:ext xmlns:c16="http://schemas.microsoft.com/office/drawing/2014/chart" uri="{C3380CC4-5D6E-409C-BE32-E72D297353CC}">
              <c16:uniqueId val="{00000003-4905-EB48-A35D-E4EF17AB71E4}"/>
            </c:ext>
          </c:extLst>
        </c:ser>
        <c:ser>
          <c:idx val="2"/>
          <c:order val="2"/>
          <c:tx>
            <c:v>Day352</c:v>
          </c:tx>
          <c:spPr>
            <a:ln w="19050" cap="rnd">
              <a:solidFill>
                <a:schemeClr val="accent3"/>
              </a:solidFill>
              <a:round/>
            </a:ln>
            <a:effectLst/>
          </c:spPr>
          <c:marker>
            <c:symbol val="none"/>
          </c:marker>
          <c:dPt>
            <c:idx val="0"/>
            <c:marker>
              <c:symbol val="none"/>
            </c:marker>
            <c:bubble3D val="0"/>
            <c:spPr>
              <a:ln w="25400" cap="rnd">
                <a:solidFill>
                  <a:srgbClr val="FF0000"/>
                </a:solidFill>
                <a:round/>
              </a:ln>
              <a:effectLst/>
            </c:spPr>
            <c:extLst>
              <c:ext xmlns:c16="http://schemas.microsoft.com/office/drawing/2014/chart" uri="{C3380CC4-5D6E-409C-BE32-E72D297353CC}">
                <c16:uniqueId val="{00000005-4905-EB48-A35D-E4EF17AB71E4}"/>
              </c:ext>
            </c:extLst>
          </c:dPt>
          <c:dPt>
            <c:idx val="1"/>
            <c:marker>
              <c:symbol val="none"/>
            </c:marker>
            <c:bubble3D val="0"/>
            <c:spPr>
              <a:ln w="38100" cap="rnd">
                <a:solidFill>
                  <a:srgbClr val="FF0000"/>
                </a:solidFill>
                <a:round/>
              </a:ln>
              <a:effectLst/>
            </c:spPr>
            <c:extLst>
              <c:ext xmlns:c16="http://schemas.microsoft.com/office/drawing/2014/chart" uri="{C3380CC4-5D6E-409C-BE32-E72D297353CC}">
                <c16:uniqueId val="{00000007-4905-EB48-A35D-E4EF17AB71E4}"/>
              </c:ext>
            </c:extLst>
          </c:dPt>
          <c:xVal>
            <c:numRef>
              <c:f>(Sheet1!$K$7,Sheet1!$C$6)</c:f>
              <c:numCache>
                <c:formatCode>General</c:formatCode>
                <c:ptCount val="2"/>
                <c:pt idx="0">
                  <c:v>149.39202582472282</c:v>
                </c:pt>
                <c:pt idx="1">
                  <c:v>149.54740000000001</c:v>
                </c:pt>
              </c:numCache>
            </c:numRef>
          </c:xVal>
          <c:yVal>
            <c:numRef>
              <c:f>(Sheet1!$J$7,Sheet1!$B$6)</c:f>
              <c:numCache>
                <c:formatCode>General</c:formatCode>
                <c:ptCount val="2"/>
                <c:pt idx="0">
                  <c:v>85.786999999999992</c:v>
                </c:pt>
                <c:pt idx="1">
                  <c:v>85.743799999999993</c:v>
                </c:pt>
              </c:numCache>
            </c:numRef>
          </c:yVal>
          <c:smooth val="0"/>
          <c:extLst>
            <c:ext xmlns:c16="http://schemas.microsoft.com/office/drawing/2014/chart" uri="{C3380CC4-5D6E-409C-BE32-E72D297353CC}">
              <c16:uniqueId val="{00000008-4905-EB48-A35D-E4EF17AB71E4}"/>
            </c:ext>
          </c:extLst>
        </c:ser>
        <c:ser>
          <c:idx val="4"/>
          <c:order val="3"/>
          <c:tx>
            <c:v>Day354</c:v>
          </c:tx>
          <c:spPr>
            <a:ln w="19050" cap="rnd">
              <a:solidFill>
                <a:schemeClr val="accent5"/>
              </a:solidFill>
              <a:round/>
            </a:ln>
            <a:effectLst/>
          </c:spPr>
          <c:marker>
            <c:symbol val="none"/>
          </c:marker>
          <c:dPt>
            <c:idx val="1"/>
            <c:marker>
              <c:symbol val="none"/>
            </c:marker>
            <c:bubble3D val="0"/>
            <c:spPr>
              <a:ln w="38100" cap="rnd">
                <a:solidFill>
                  <a:srgbClr val="FF0000"/>
                </a:solidFill>
                <a:round/>
              </a:ln>
              <a:effectLst/>
            </c:spPr>
            <c:extLst>
              <c:ext xmlns:c16="http://schemas.microsoft.com/office/drawing/2014/chart" uri="{C3380CC4-5D6E-409C-BE32-E72D297353CC}">
                <c16:uniqueId val="{0000000A-4905-EB48-A35D-E4EF17AB71E4}"/>
              </c:ext>
            </c:extLst>
          </c:dPt>
          <c:xVal>
            <c:numRef>
              <c:f>(Sheet1!$K$50,Sheet1!$C$49)</c:f>
              <c:numCache>
                <c:formatCode>General</c:formatCode>
                <c:ptCount val="2"/>
                <c:pt idx="0">
                  <c:v>147.51904490642497</c:v>
                </c:pt>
                <c:pt idx="1">
                  <c:v>147.8946</c:v>
                </c:pt>
              </c:numCache>
            </c:numRef>
          </c:xVal>
          <c:yVal>
            <c:numRef>
              <c:f>(Sheet1!$J$50,Sheet1!$B$49)</c:f>
              <c:numCache>
                <c:formatCode>General</c:formatCode>
                <c:ptCount val="2"/>
                <c:pt idx="0">
                  <c:v>85.733199999999997</c:v>
                </c:pt>
                <c:pt idx="1">
                  <c:v>85.758600000000001</c:v>
                </c:pt>
              </c:numCache>
            </c:numRef>
          </c:yVal>
          <c:smooth val="0"/>
          <c:extLst>
            <c:ext xmlns:c16="http://schemas.microsoft.com/office/drawing/2014/chart" uri="{C3380CC4-5D6E-409C-BE32-E72D297353CC}">
              <c16:uniqueId val="{0000000B-4905-EB48-A35D-E4EF17AB71E4}"/>
            </c:ext>
          </c:extLst>
        </c:ser>
        <c:ser>
          <c:idx val="5"/>
          <c:order val="4"/>
          <c:tx>
            <c:v>Day356</c:v>
          </c:tx>
          <c:spPr>
            <a:ln w="38100" cap="rnd">
              <a:solidFill>
                <a:srgbClr val="FF0000"/>
              </a:solidFill>
              <a:round/>
            </a:ln>
            <a:effectLst/>
          </c:spPr>
          <c:marker>
            <c:symbol val="none"/>
          </c:marker>
          <c:xVal>
            <c:numRef>
              <c:f>(Sheet1!$K$58,Sheet1!$C$57)</c:f>
              <c:numCache>
                <c:formatCode>General</c:formatCode>
                <c:ptCount val="2"/>
                <c:pt idx="0">
                  <c:v>145.12944806129147</c:v>
                </c:pt>
                <c:pt idx="1">
                  <c:v>145.15940000000001</c:v>
                </c:pt>
              </c:numCache>
            </c:numRef>
          </c:xVal>
          <c:yVal>
            <c:numRef>
              <c:f>(Sheet1!$J$58,Sheet1!$B$57)</c:f>
              <c:numCache>
                <c:formatCode>General</c:formatCode>
                <c:ptCount val="2"/>
                <c:pt idx="0">
                  <c:v>85.638999999999996</c:v>
                </c:pt>
                <c:pt idx="1">
                  <c:v>85.646000000000001</c:v>
                </c:pt>
              </c:numCache>
            </c:numRef>
          </c:yVal>
          <c:smooth val="0"/>
          <c:extLst>
            <c:ext xmlns:c16="http://schemas.microsoft.com/office/drawing/2014/chart" uri="{C3380CC4-5D6E-409C-BE32-E72D297353CC}">
              <c16:uniqueId val="{0000000C-4905-EB48-A35D-E4EF17AB71E4}"/>
            </c:ext>
          </c:extLst>
        </c:ser>
        <c:ser>
          <c:idx val="6"/>
          <c:order val="5"/>
          <c:tx>
            <c:v>Day358</c:v>
          </c:tx>
          <c:spPr>
            <a:ln w="38100" cap="rnd">
              <a:solidFill>
                <a:srgbClr val="FF0000"/>
              </a:solidFill>
              <a:round/>
            </a:ln>
            <a:effectLst/>
          </c:spPr>
          <c:marker>
            <c:symbol val="none"/>
          </c:marker>
          <c:xVal>
            <c:numRef>
              <c:f>(Sheet1!$K$13,Sheet1!$C$12)</c:f>
              <c:numCache>
                <c:formatCode>General</c:formatCode>
                <c:ptCount val="2"/>
                <c:pt idx="0">
                  <c:v>146.3781940625627</c:v>
                </c:pt>
                <c:pt idx="1">
                  <c:v>145.80520000000001</c:v>
                </c:pt>
              </c:numCache>
            </c:numRef>
          </c:xVal>
          <c:yVal>
            <c:numRef>
              <c:f>(Sheet1!$J$13,Sheet1!$B$12)</c:f>
              <c:numCache>
                <c:formatCode>General</c:formatCode>
                <c:ptCount val="2"/>
                <c:pt idx="0">
                  <c:v>85.767200000000003</c:v>
                </c:pt>
                <c:pt idx="1">
                  <c:v>85.7072</c:v>
                </c:pt>
              </c:numCache>
            </c:numRef>
          </c:yVal>
          <c:smooth val="0"/>
          <c:extLst>
            <c:ext xmlns:c16="http://schemas.microsoft.com/office/drawing/2014/chart" uri="{C3380CC4-5D6E-409C-BE32-E72D297353CC}">
              <c16:uniqueId val="{0000000D-4905-EB48-A35D-E4EF17AB71E4}"/>
            </c:ext>
          </c:extLst>
        </c:ser>
        <c:ser>
          <c:idx val="8"/>
          <c:order val="6"/>
          <c:tx>
            <c:v>Day362</c:v>
          </c:tx>
          <c:spPr>
            <a:ln w="19050" cap="rnd">
              <a:solidFill>
                <a:schemeClr val="accent3">
                  <a:lumMod val="60000"/>
                </a:schemeClr>
              </a:solidFill>
              <a:round/>
            </a:ln>
            <a:effectLst/>
          </c:spPr>
          <c:marker>
            <c:symbol val="none"/>
          </c:marker>
          <c:dPt>
            <c:idx val="1"/>
            <c:marker>
              <c:symbol val="none"/>
            </c:marker>
            <c:bubble3D val="0"/>
            <c:spPr>
              <a:ln w="38100" cap="rnd">
                <a:solidFill>
                  <a:srgbClr val="FF0000"/>
                </a:solidFill>
                <a:round/>
              </a:ln>
              <a:effectLst/>
            </c:spPr>
            <c:extLst>
              <c:ext xmlns:c16="http://schemas.microsoft.com/office/drawing/2014/chart" uri="{C3380CC4-5D6E-409C-BE32-E72D297353CC}">
                <c16:uniqueId val="{0000000F-4905-EB48-A35D-E4EF17AB71E4}"/>
              </c:ext>
            </c:extLst>
          </c:dPt>
          <c:xVal>
            <c:numRef>
              <c:f>(Sheet1!$K$82,Sheet1!$C$81)</c:f>
              <c:numCache>
                <c:formatCode>General</c:formatCode>
                <c:ptCount val="2"/>
                <c:pt idx="0">
                  <c:v>147.2032296185285</c:v>
                </c:pt>
                <c:pt idx="1">
                  <c:v>147.11099999999999</c:v>
                </c:pt>
              </c:numCache>
            </c:numRef>
          </c:xVal>
          <c:yVal>
            <c:numRef>
              <c:f>(Sheet1!$J$82,Sheet1!$B$81)</c:f>
              <c:numCache>
                <c:formatCode>General</c:formatCode>
                <c:ptCount val="2"/>
                <c:pt idx="0">
                  <c:v>86.378599999999992</c:v>
                </c:pt>
                <c:pt idx="1">
                  <c:v>86.329599999999999</c:v>
                </c:pt>
              </c:numCache>
            </c:numRef>
          </c:yVal>
          <c:smooth val="0"/>
          <c:extLst>
            <c:ext xmlns:c16="http://schemas.microsoft.com/office/drawing/2014/chart" uri="{C3380CC4-5D6E-409C-BE32-E72D297353CC}">
              <c16:uniqueId val="{00000010-4905-EB48-A35D-E4EF17AB71E4}"/>
            </c:ext>
          </c:extLst>
        </c:ser>
        <c:ser>
          <c:idx val="9"/>
          <c:order val="7"/>
          <c:tx>
            <c:v>Day364</c:v>
          </c:tx>
          <c:spPr>
            <a:ln w="19050" cap="rnd">
              <a:solidFill>
                <a:schemeClr val="accent4">
                  <a:lumMod val="60000"/>
                </a:schemeClr>
              </a:solidFill>
              <a:round/>
            </a:ln>
            <a:effectLst/>
          </c:spPr>
          <c:marker>
            <c:symbol val="none"/>
          </c:marker>
          <c:dPt>
            <c:idx val="1"/>
            <c:marker>
              <c:symbol val="none"/>
            </c:marker>
            <c:bubble3D val="0"/>
            <c:spPr>
              <a:ln w="38100" cap="rnd">
                <a:solidFill>
                  <a:srgbClr val="FF0000"/>
                </a:solidFill>
                <a:round/>
              </a:ln>
              <a:effectLst/>
            </c:spPr>
            <c:extLst>
              <c:ext xmlns:c16="http://schemas.microsoft.com/office/drawing/2014/chart" uri="{C3380CC4-5D6E-409C-BE32-E72D297353CC}">
                <c16:uniqueId val="{00000012-4905-EB48-A35D-E4EF17AB71E4}"/>
              </c:ext>
            </c:extLst>
          </c:dPt>
          <c:xVal>
            <c:numRef>
              <c:f>(Sheet1!$K$90,Sheet1!$C$89)</c:f>
              <c:numCache>
                <c:formatCode>General</c:formatCode>
                <c:ptCount val="2"/>
                <c:pt idx="0">
                  <c:v>146.52206188989291</c:v>
                </c:pt>
                <c:pt idx="1">
                  <c:v>146.76140000000001</c:v>
                </c:pt>
              </c:numCache>
            </c:numRef>
          </c:xVal>
          <c:yVal>
            <c:numRef>
              <c:f>(Sheet1!$J$90,Sheet1!$B$89)</c:f>
              <c:numCache>
                <c:formatCode>General</c:formatCode>
                <c:ptCount val="2"/>
                <c:pt idx="0">
                  <c:v>86.574400000000011</c:v>
                </c:pt>
                <c:pt idx="1">
                  <c:v>86.546400000000006</c:v>
                </c:pt>
              </c:numCache>
            </c:numRef>
          </c:yVal>
          <c:smooth val="0"/>
          <c:extLst>
            <c:ext xmlns:c16="http://schemas.microsoft.com/office/drawing/2014/chart" uri="{C3380CC4-5D6E-409C-BE32-E72D297353CC}">
              <c16:uniqueId val="{00000013-4905-EB48-A35D-E4EF17AB71E4}"/>
            </c:ext>
          </c:extLst>
        </c:ser>
        <c:ser>
          <c:idx val="10"/>
          <c:order val="8"/>
          <c:tx>
            <c:v>Day1</c:v>
          </c:tx>
          <c:spPr>
            <a:ln w="38100" cap="rnd">
              <a:solidFill>
                <a:srgbClr val="FF0000"/>
              </a:solidFill>
              <a:round/>
            </a:ln>
            <a:effectLst/>
          </c:spPr>
          <c:marker>
            <c:symbol val="none"/>
          </c:marker>
          <c:xVal>
            <c:numRef>
              <c:f>(Sheet1!$K$98,Sheet1!$C$97)</c:f>
              <c:numCache>
                <c:formatCode>General</c:formatCode>
                <c:ptCount val="2"/>
                <c:pt idx="0">
                  <c:v>145.82051608790042</c:v>
                </c:pt>
                <c:pt idx="1">
                  <c:v>145.90819999999999</c:v>
                </c:pt>
              </c:numCache>
            </c:numRef>
          </c:xVal>
          <c:yVal>
            <c:numRef>
              <c:f>(Sheet1!$J$98,Sheet1!$B$97)</c:f>
              <c:numCache>
                <c:formatCode>General</c:formatCode>
                <c:ptCount val="2"/>
                <c:pt idx="0">
                  <c:v>86.72399999999999</c:v>
                </c:pt>
                <c:pt idx="1">
                  <c:v>86.705799999999996</c:v>
                </c:pt>
              </c:numCache>
            </c:numRef>
          </c:yVal>
          <c:smooth val="0"/>
          <c:extLst>
            <c:ext xmlns:c16="http://schemas.microsoft.com/office/drawing/2014/chart" uri="{C3380CC4-5D6E-409C-BE32-E72D297353CC}">
              <c16:uniqueId val="{00000014-4905-EB48-A35D-E4EF17AB71E4}"/>
            </c:ext>
          </c:extLst>
        </c:ser>
        <c:ser>
          <c:idx val="0"/>
          <c:order val="9"/>
          <c:tx>
            <c:v>Day360</c:v>
          </c:tx>
          <c:spPr>
            <a:ln w="19050" cap="rnd">
              <a:solidFill>
                <a:schemeClr val="accent1"/>
              </a:solidFill>
              <a:round/>
            </a:ln>
            <a:effectLst/>
          </c:spPr>
          <c:marker>
            <c:symbol val="none"/>
          </c:marker>
          <c:dPt>
            <c:idx val="0"/>
            <c:marker>
              <c:symbol val="none"/>
            </c:marker>
            <c:bubble3D val="0"/>
            <c:spPr>
              <a:ln w="25400" cap="rnd">
                <a:noFill/>
                <a:round/>
              </a:ln>
              <a:effectLst/>
            </c:spPr>
            <c:extLst>
              <c:ext xmlns:c16="http://schemas.microsoft.com/office/drawing/2014/chart" uri="{C3380CC4-5D6E-409C-BE32-E72D297353CC}">
                <c16:uniqueId val="{00000016-4905-EB48-A35D-E4EF17AB71E4}"/>
              </c:ext>
            </c:extLst>
          </c:dPt>
          <c:dPt>
            <c:idx val="1"/>
            <c:marker>
              <c:symbol val="none"/>
            </c:marker>
            <c:bubble3D val="0"/>
            <c:spPr>
              <a:ln w="38100" cap="rnd">
                <a:solidFill>
                  <a:srgbClr val="FF0000"/>
                </a:solidFill>
                <a:round/>
              </a:ln>
              <a:effectLst/>
            </c:spPr>
            <c:extLst>
              <c:ext xmlns:c16="http://schemas.microsoft.com/office/drawing/2014/chart" uri="{C3380CC4-5D6E-409C-BE32-E72D297353CC}">
                <c16:uniqueId val="{00000018-4905-EB48-A35D-E4EF17AB71E4}"/>
              </c:ext>
            </c:extLst>
          </c:dPt>
          <c:xVal>
            <c:numRef>
              <c:f>(Sheet1!$K$74,Sheet1!$C$73)</c:f>
              <c:numCache>
                <c:formatCode>General</c:formatCode>
                <c:ptCount val="2"/>
                <c:pt idx="0">
                  <c:v>146.39024838248699</c:v>
                </c:pt>
                <c:pt idx="1">
                  <c:v>146.14279999999999</c:v>
                </c:pt>
              </c:numCache>
            </c:numRef>
          </c:xVal>
          <c:yVal>
            <c:numRef>
              <c:f>(Sheet1!$J$74,Sheet1!$B$73)</c:f>
              <c:numCache>
                <c:formatCode>General</c:formatCode>
                <c:ptCount val="2"/>
                <c:pt idx="0">
                  <c:v>86.160600000000002</c:v>
                </c:pt>
                <c:pt idx="1">
                  <c:v>86.119</c:v>
                </c:pt>
              </c:numCache>
            </c:numRef>
          </c:yVal>
          <c:smooth val="0"/>
          <c:extLst>
            <c:ext xmlns:c16="http://schemas.microsoft.com/office/drawing/2014/chart" uri="{C3380CC4-5D6E-409C-BE32-E72D297353CC}">
              <c16:uniqueId val="{00000019-4905-EB48-A35D-E4EF17AB71E4}"/>
            </c:ext>
          </c:extLst>
        </c:ser>
        <c:dLbls>
          <c:showLegendKey val="0"/>
          <c:showVal val="0"/>
          <c:showCatName val="0"/>
          <c:showSerName val="0"/>
          <c:showPercent val="0"/>
          <c:showBubbleSize val="0"/>
        </c:dLbls>
        <c:axId val="494440048"/>
        <c:axId val="494499872"/>
      </c:scatterChart>
      <c:valAx>
        <c:axId val="49444004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t>Longitude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494499872"/>
        <c:crosses val="autoZero"/>
        <c:crossBetween val="midCat"/>
      </c:valAx>
      <c:valAx>
        <c:axId val="4944998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a:t>Latitiude</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crossAx val="49444004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bg2"/>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114</TotalTime>
  <Pages>5</Pages>
  <Words>782</Words>
  <Characters>4460</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MacKenzie Jewell</dc:creator>
  <cp:keywords/>
  <dc:description/>
  <cp:lastModifiedBy>MacKenzie Jewell</cp:lastModifiedBy>
  <cp:revision>28</cp:revision>
  <dcterms:created xsi:type="dcterms:W3CDTF">2019-07-30T04:11:00Z</dcterms:created>
  <dcterms:modified xsi:type="dcterms:W3CDTF">2019-08-05T02:12:00Z</dcterms:modified>
</cp:coreProperties>
</file>